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9322F" w:rsidRPr="009177A5" w:rsidRDefault="00A9322F" w:rsidP="00EE5474">
      <w:pPr>
        <w:pStyle w:val="Header"/>
        <w:tabs>
          <w:tab w:val="right" w:pos="9630"/>
        </w:tabs>
        <w:ind w:right="-27"/>
        <w:rPr>
          <w:iCs/>
          <w:sz w:val="24"/>
        </w:rPr>
      </w:pPr>
      <w:r>
        <w:rPr>
          <w:sz w:val="24"/>
        </w:rPr>
        <w:t>3</w:t>
      </w:r>
      <w:bookmarkStart w:id="0" w:name="_Ref220397014"/>
      <w:bookmarkEnd w:id="0"/>
      <w:r>
        <w:rPr>
          <w:sz w:val="24"/>
        </w:rPr>
        <w:t xml:space="preserve">GPP </w:t>
      </w:r>
      <w:r w:rsidR="00D36AA0">
        <w:rPr>
          <w:sz w:val="24"/>
        </w:rPr>
        <w:t>TSG-</w:t>
      </w:r>
      <w:r w:rsidR="00401213">
        <w:rPr>
          <w:sz w:val="24"/>
        </w:rPr>
        <w:t xml:space="preserve">RAN </w:t>
      </w:r>
      <w:r w:rsidR="00D36AA0">
        <w:rPr>
          <w:sz w:val="24"/>
        </w:rPr>
        <w:t xml:space="preserve">Working Group 4 </w:t>
      </w:r>
      <w:r>
        <w:rPr>
          <w:sz w:val="24"/>
        </w:rPr>
        <w:t>Meeting #</w:t>
      </w:r>
      <w:r w:rsidR="009314D6">
        <w:rPr>
          <w:sz w:val="24"/>
        </w:rPr>
        <w:t>88</w:t>
      </w:r>
      <w:r w:rsidRPr="002C1039">
        <w:rPr>
          <w:sz w:val="24"/>
        </w:rPr>
        <w:tab/>
      </w:r>
      <w:r w:rsidR="00D36AA0">
        <w:rPr>
          <w:iCs/>
          <w:sz w:val="24"/>
        </w:rPr>
        <w:t>R4</w:t>
      </w:r>
      <w:r>
        <w:rPr>
          <w:iCs/>
          <w:sz w:val="24"/>
        </w:rPr>
        <w:t>-</w:t>
      </w:r>
      <w:r w:rsidR="00D36AA0">
        <w:rPr>
          <w:sz w:val="24"/>
          <w:szCs w:val="24"/>
        </w:rPr>
        <w:t>18</w:t>
      </w:r>
      <w:r w:rsidR="008C6327">
        <w:rPr>
          <w:sz w:val="24"/>
          <w:szCs w:val="24"/>
        </w:rPr>
        <w:t>11134</w:t>
      </w:r>
    </w:p>
    <w:p w:rsidR="00A9322F" w:rsidRPr="00796F09" w:rsidRDefault="009314D6" w:rsidP="00EE5474">
      <w:pPr>
        <w:pStyle w:val="Header"/>
        <w:tabs>
          <w:tab w:val="right" w:pos="9630"/>
        </w:tabs>
        <w:spacing w:after="120"/>
        <w:rPr>
          <w:sz w:val="24"/>
        </w:rPr>
      </w:pPr>
      <w:r>
        <w:rPr>
          <w:sz w:val="24"/>
        </w:rPr>
        <w:t>Gothenburg, Sweden</w:t>
      </w:r>
      <w:r w:rsidR="00A9322F">
        <w:rPr>
          <w:sz w:val="24"/>
        </w:rPr>
        <w:t xml:space="preserve">, </w:t>
      </w:r>
      <w:r w:rsidR="00D36AA0">
        <w:rPr>
          <w:sz w:val="24"/>
        </w:rPr>
        <w:t>20</w:t>
      </w:r>
      <w:r w:rsidR="00A9322F" w:rsidRPr="00B7127C">
        <w:rPr>
          <w:sz w:val="24"/>
          <w:vertAlign w:val="superscript"/>
        </w:rPr>
        <w:t>th</w:t>
      </w:r>
      <w:r w:rsidR="00A9322F">
        <w:rPr>
          <w:sz w:val="24"/>
        </w:rPr>
        <w:t xml:space="preserve"> </w:t>
      </w:r>
      <w:r>
        <w:rPr>
          <w:sz w:val="24"/>
        </w:rPr>
        <w:t>August</w:t>
      </w:r>
      <w:r w:rsidR="00A9322F">
        <w:rPr>
          <w:sz w:val="24"/>
        </w:rPr>
        <w:t xml:space="preserve"> – </w:t>
      </w:r>
      <w:r w:rsidR="00D36AA0">
        <w:rPr>
          <w:sz w:val="24"/>
        </w:rPr>
        <w:t>2</w:t>
      </w:r>
      <w:r>
        <w:rPr>
          <w:sz w:val="24"/>
        </w:rPr>
        <w:t>4</w:t>
      </w:r>
      <w:r w:rsidR="00D36AA0">
        <w:rPr>
          <w:sz w:val="24"/>
          <w:vertAlign w:val="superscript"/>
        </w:rPr>
        <w:t>th</w:t>
      </w:r>
      <w:r w:rsidR="00A9322F">
        <w:rPr>
          <w:sz w:val="24"/>
          <w:vertAlign w:val="superscript"/>
        </w:rPr>
        <w:t xml:space="preserve"> </w:t>
      </w:r>
      <w:r>
        <w:rPr>
          <w:sz w:val="24"/>
        </w:rPr>
        <w:t>August</w:t>
      </w:r>
      <w:r w:rsidR="00A9322F">
        <w:rPr>
          <w:sz w:val="24"/>
        </w:rPr>
        <w:t xml:space="preserve"> </w:t>
      </w:r>
      <w:r w:rsidR="00A9322F" w:rsidRPr="00796F09">
        <w:rPr>
          <w:sz w:val="24"/>
        </w:rPr>
        <w:t>201</w:t>
      </w:r>
      <w:r w:rsidR="00866FCD">
        <w:rPr>
          <w:sz w:val="24"/>
        </w:rPr>
        <w:t>8</w:t>
      </w:r>
    </w:p>
    <w:p w:rsidR="007742B9" w:rsidRDefault="007742B9" w:rsidP="00EE5474">
      <w:pPr>
        <w:spacing w:after="60"/>
        <w:rPr>
          <w:rFonts w:ascii="Arial" w:hAnsi="Arial" w:cs="Arial"/>
          <w:b/>
          <w:sz w:val="20"/>
          <w:szCs w:val="20"/>
        </w:rPr>
      </w:pPr>
    </w:p>
    <w:p w:rsidR="007742B9" w:rsidRDefault="007742B9" w:rsidP="00EE5474">
      <w:pPr>
        <w:spacing w:after="60"/>
        <w:rPr>
          <w:rFonts w:ascii="Arial" w:hAnsi="Arial" w:cs="Arial"/>
          <w:b/>
          <w:sz w:val="20"/>
          <w:szCs w:val="20"/>
        </w:rPr>
      </w:pPr>
    </w:p>
    <w:p w:rsidR="00A4194E" w:rsidRPr="007F4784" w:rsidRDefault="00A4194E" w:rsidP="00EE5474">
      <w:pPr>
        <w:spacing w:after="60"/>
        <w:ind w:left="1985" w:hanging="1985"/>
        <w:rPr>
          <w:rFonts w:ascii="Arial" w:hAnsi="Arial" w:cs="Arial"/>
          <w:bCs/>
          <w:sz w:val="20"/>
          <w:szCs w:val="20"/>
        </w:rPr>
      </w:pPr>
      <w:r w:rsidRPr="007F4784">
        <w:rPr>
          <w:rFonts w:ascii="Arial" w:hAnsi="Arial" w:cs="Arial"/>
          <w:b/>
          <w:sz w:val="20"/>
          <w:szCs w:val="20"/>
        </w:rPr>
        <w:t>Source:</w:t>
      </w:r>
      <w:r w:rsidRPr="007F4784">
        <w:rPr>
          <w:rFonts w:ascii="Arial" w:hAnsi="Arial" w:cs="Arial"/>
          <w:b/>
          <w:sz w:val="20"/>
          <w:szCs w:val="20"/>
        </w:rPr>
        <w:tab/>
      </w:r>
      <w:r w:rsidR="00135490" w:rsidRPr="00F0255C">
        <w:rPr>
          <w:rFonts w:ascii="Arial" w:hAnsi="Arial" w:cs="Arial"/>
          <w:sz w:val="20"/>
          <w:szCs w:val="20"/>
        </w:rPr>
        <w:t xml:space="preserve">Nokia and </w:t>
      </w:r>
      <w:r w:rsidRPr="00F0255C">
        <w:rPr>
          <w:rFonts w:ascii="Arial" w:hAnsi="Arial" w:cs="Arial"/>
          <w:bCs/>
          <w:sz w:val="20"/>
          <w:szCs w:val="20"/>
        </w:rPr>
        <w:t>Globalstar</w:t>
      </w:r>
    </w:p>
    <w:p w:rsidR="00A4194E" w:rsidRDefault="00A4194E" w:rsidP="00EE5474">
      <w:pPr>
        <w:spacing w:after="60"/>
        <w:ind w:left="1985" w:hanging="1985"/>
        <w:rPr>
          <w:rFonts w:ascii="Arial" w:hAnsi="Arial" w:cs="Arial"/>
          <w:sz w:val="20"/>
          <w:szCs w:val="20"/>
        </w:rPr>
      </w:pPr>
      <w:r w:rsidRPr="007F4784">
        <w:rPr>
          <w:rFonts w:ascii="Arial" w:hAnsi="Arial" w:cs="Arial"/>
          <w:b/>
          <w:sz w:val="20"/>
          <w:szCs w:val="20"/>
        </w:rPr>
        <w:t>Title:</w:t>
      </w:r>
      <w:r w:rsidRPr="007F4784">
        <w:rPr>
          <w:rFonts w:ascii="Arial" w:hAnsi="Arial" w:cs="Arial"/>
          <w:b/>
          <w:sz w:val="20"/>
          <w:szCs w:val="20"/>
        </w:rPr>
        <w:tab/>
      </w:r>
      <w:r>
        <w:rPr>
          <w:rFonts w:ascii="Arial" w:hAnsi="Arial" w:cs="Arial"/>
          <w:sz w:val="20"/>
          <w:szCs w:val="20"/>
        </w:rPr>
        <w:t xml:space="preserve">TP to TR 36.791 (E-UTRA 2.4 GHz TDD Band for US): </w:t>
      </w:r>
      <w:r w:rsidR="004E36FF">
        <w:rPr>
          <w:rFonts w:ascii="Arial" w:hAnsi="Arial" w:cs="Arial"/>
          <w:sz w:val="20"/>
          <w:szCs w:val="20"/>
        </w:rPr>
        <w:t>Special Co-Existence Considerations for Unlicensed Operations in the 2.4 GHz ISM Band</w:t>
      </w:r>
    </w:p>
    <w:p w:rsidR="00A4194E" w:rsidRPr="00C62F63" w:rsidRDefault="00A4194E" w:rsidP="00EE5474">
      <w:pPr>
        <w:spacing w:after="60"/>
        <w:ind w:left="1985" w:hanging="1985"/>
        <w:rPr>
          <w:rFonts w:ascii="Arial" w:hAnsi="Arial" w:cs="Arial"/>
          <w:sz w:val="20"/>
          <w:szCs w:val="20"/>
        </w:rPr>
      </w:pPr>
      <w:r w:rsidRPr="007F4784">
        <w:rPr>
          <w:rFonts w:ascii="Arial" w:hAnsi="Arial" w:cs="Arial"/>
          <w:b/>
          <w:sz w:val="20"/>
          <w:szCs w:val="20"/>
        </w:rPr>
        <w:t>Document for:</w:t>
      </w:r>
      <w:r w:rsidRPr="007F4784">
        <w:rPr>
          <w:rFonts w:ascii="Arial" w:hAnsi="Arial" w:cs="Arial"/>
          <w:b/>
          <w:sz w:val="20"/>
          <w:szCs w:val="20"/>
        </w:rPr>
        <w:tab/>
      </w:r>
      <w:r>
        <w:rPr>
          <w:rFonts w:ascii="Arial" w:hAnsi="Arial" w:cs="Arial"/>
          <w:bCs/>
          <w:sz w:val="20"/>
          <w:szCs w:val="20"/>
        </w:rPr>
        <w:t>Approval</w:t>
      </w:r>
    </w:p>
    <w:p w:rsidR="00A4194E" w:rsidRDefault="00A4194E" w:rsidP="00EE5474">
      <w:pPr>
        <w:pStyle w:val="BodyText"/>
        <w:spacing w:before="6"/>
        <w:rPr>
          <w:rFonts w:ascii="Arial" w:hAnsi="Arial" w:cs="Arial"/>
          <w:sz w:val="20"/>
          <w:szCs w:val="20"/>
        </w:rPr>
      </w:pPr>
      <w:r>
        <w:rPr>
          <w:rFonts w:ascii="Arial" w:hAnsi="Arial" w:cs="Arial"/>
          <w:b/>
          <w:sz w:val="20"/>
          <w:szCs w:val="20"/>
        </w:rPr>
        <w:t>Agenda Item:</w:t>
      </w:r>
      <w:r>
        <w:rPr>
          <w:rFonts w:ascii="Arial" w:hAnsi="Arial" w:cs="Arial"/>
          <w:b/>
          <w:sz w:val="20"/>
          <w:szCs w:val="20"/>
        </w:rPr>
        <w:tab/>
        <w:t xml:space="preserve">          </w:t>
      </w:r>
      <w:r w:rsidR="0096002A">
        <w:rPr>
          <w:rFonts w:ascii="Arial" w:hAnsi="Arial" w:cs="Arial"/>
          <w:sz w:val="20"/>
          <w:szCs w:val="20"/>
        </w:rPr>
        <w:t>6.2.1</w:t>
      </w:r>
    </w:p>
    <w:p w:rsidR="00C62F63" w:rsidRDefault="00C62F63" w:rsidP="00EE5474">
      <w:pPr>
        <w:spacing w:after="60"/>
        <w:ind w:left="1985" w:hanging="1985"/>
        <w:rPr>
          <w:rFonts w:ascii="Arial" w:hAnsi="Arial" w:cs="Arial"/>
          <w:sz w:val="20"/>
          <w:szCs w:val="20"/>
        </w:rPr>
      </w:pPr>
    </w:p>
    <w:p w:rsidR="00FF15CC" w:rsidRPr="00FF15CC" w:rsidRDefault="00FF15CC" w:rsidP="00EE5474">
      <w:pPr>
        <w:pStyle w:val="BodyText"/>
        <w:spacing w:before="6"/>
        <w:rPr>
          <w:sz w:val="13"/>
        </w:rPr>
      </w:pPr>
    </w:p>
    <w:p w:rsidR="00C62F63" w:rsidRDefault="00C62F63" w:rsidP="00EE5474">
      <w:pPr>
        <w:pStyle w:val="BodyText"/>
        <w:spacing w:before="6"/>
        <w:rPr>
          <w:sz w:val="13"/>
        </w:rPr>
      </w:pPr>
    </w:p>
    <w:p w:rsidR="00483D58" w:rsidRPr="00575401" w:rsidRDefault="0046703F" w:rsidP="00EE5474">
      <w:pPr>
        <w:pStyle w:val="BodyText"/>
        <w:spacing w:before="6"/>
        <w:rPr>
          <w:sz w:val="13"/>
        </w:rPr>
      </w:pPr>
      <w:r>
        <w:rPr>
          <w:noProof/>
        </w:rPr>
        <w:pict w14:anchorId="05DB03C0">
          <v:line id="Straight Connector 9" o:spid="_x0000_s1029" style="position:absolute;z-index:2;visibility:visible;mso-wrap-style:square;mso-width-percent:0;mso-height-percent:0;mso-wrap-distance-left:0;mso-wrap-distance-top:-22e-5mm;mso-wrap-distance-right:0;mso-wrap-distance-bottom:-22e-5mm;mso-position-horizontal:absolute;mso-position-horizontal-relative:page;mso-position-vertical:absolute;mso-position-vertical-relative:text;mso-width-percent:0;mso-height-percent:0;mso-width-relative:page;mso-height-relative:page" from="55.2pt,10.45pt" to="540.2pt,10.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" strokeweight="1.44pt">
            <v:path arrowok="f"/>
            <o:lock v:ext="edit" aspectratio="t" verticies="t"/>
            <w10:wrap type="topAndBottom" anchorx="page"/>
          </v:line>
        </w:pict>
      </w:r>
    </w:p>
    <w:p w:rsidR="00483D58" w:rsidRPr="002C535D" w:rsidRDefault="00483D58" w:rsidP="00EE5474">
      <w:pPr>
        <w:pStyle w:val="Heading2"/>
        <w:rPr>
          <w:sz w:val="36"/>
          <w:lang w:val="en-US"/>
        </w:rPr>
      </w:pPr>
      <w:r w:rsidRPr="002C535D">
        <w:rPr>
          <w:sz w:val="36"/>
          <w:lang w:val="en-US"/>
        </w:rPr>
        <w:t>1</w:t>
      </w:r>
      <w:r w:rsidRPr="002C535D">
        <w:rPr>
          <w:sz w:val="36"/>
          <w:lang w:val="en-US"/>
        </w:rPr>
        <w:tab/>
      </w:r>
      <w:r w:rsidR="00A9322F">
        <w:rPr>
          <w:sz w:val="36"/>
          <w:lang w:val="en-US"/>
        </w:rPr>
        <w:t>Introduction</w:t>
      </w:r>
    </w:p>
    <w:p w:rsidR="00483D58" w:rsidRPr="006B0D7C" w:rsidRDefault="00483D58" w:rsidP="00EE5474"/>
    <w:p w:rsidR="004E36FF" w:rsidRDefault="004E36FF" w:rsidP="004E36FF">
      <w:pPr>
        <w:pStyle w:val="B1"/>
        <w:ind w:left="0" w:firstLine="0"/>
        <w:rPr>
          <w:sz w:val="20"/>
          <w:szCs w:val="20"/>
          <w:lang w:val="en-GB"/>
        </w:rPr>
      </w:pPr>
      <w:r w:rsidRPr="00C05F2D">
        <w:rPr>
          <w:sz w:val="20"/>
          <w:szCs w:val="20"/>
          <w:lang w:val="en-GB"/>
        </w:rPr>
        <w:t>The FCC has recently adopted rules for terrestrial use of the 2.4 GHz MSS band.  This band is</w:t>
      </w:r>
      <w:r>
        <w:rPr>
          <w:sz w:val="20"/>
          <w:szCs w:val="20"/>
          <w:lang w:val="en-GB"/>
        </w:rPr>
        <w:t xml:space="preserve"> authorized for TDD</w:t>
      </w:r>
    </w:p>
    <w:p w:rsidR="004E36FF" w:rsidRDefault="004E36FF" w:rsidP="004E36FF">
      <w:pPr>
        <w:pStyle w:val="B1"/>
        <w:ind w:left="0" w:firstLine="0"/>
        <w:rPr>
          <w:sz w:val="20"/>
          <w:szCs w:val="20"/>
          <w:lang w:val="en-GB"/>
        </w:rPr>
      </w:pPr>
      <w:r w:rsidRPr="00C05F2D">
        <w:rPr>
          <w:sz w:val="20"/>
          <w:szCs w:val="20"/>
          <w:lang w:val="en-GB"/>
        </w:rPr>
        <w:t>operation and spans 11.5 M</w:t>
      </w:r>
      <w:r>
        <w:rPr>
          <w:sz w:val="20"/>
          <w:szCs w:val="20"/>
          <w:lang w:val="en-GB"/>
        </w:rPr>
        <w:t xml:space="preserve">Hz from 2483.5 MHz to 2495 MHz.  </w:t>
      </w:r>
      <w:r w:rsidRPr="00C05F2D">
        <w:rPr>
          <w:sz w:val="20"/>
          <w:szCs w:val="20"/>
          <w:lang w:val="en-GB"/>
        </w:rPr>
        <w:t xml:space="preserve">A new work item was created in RAN#79, to </w:t>
      </w:r>
      <w:r>
        <w:rPr>
          <w:sz w:val="20"/>
          <w:szCs w:val="20"/>
          <w:lang w:val="en-GB"/>
        </w:rPr>
        <w:t>create</w:t>
      </w:r>
    </w:p>
    <w:p w:rsidR="004E36FF" w:rsidRPr="00C05F2D" w:rsidRDefault="004E36FF" w:rsidP="004E36FF">
      <w:pPr>
        <w:pStyle w:val="B1"/>
        <w:ind w:left="0" w:firstLine="0"/>
        <w:rPr>
          <w:sz w:val="20"/>
          <w:szCs w:val="20"/>
          <w:lang w:val="en-GB"/>
        </w:rPr>
      </w:pPr>
      <w:r>
        <w:rPr>
          <w:sz w:val="20"/>
          <w:szCs w:val="20"/>
          <w:lang w:val="en-GB"/>
        </w:rPr>
        <w:t>s</w:t>
      </w:r>
      <w:r w:rsidRPr="00C05F2D">
        <w:rPr>
          <w:sz w:val="20"/>
          <w:szCs w:val="20"/>
          <w:lang w:val="en-GB"/>
        </w:rPr>
        <w:t>pecifications for a corresponding new E-UTRA operating band [1].</w:t>
      </w:r>
    </w:p>
    <w:p w:rsidR="004E36FF" w:rsidRDefault="004E36FF" w:rsidP="004E36FF">
      <w:pPr>
        <w:pStyle w:val="B1"/>
        <w:ind w:left="0" w:firstLine="0"/>
        <w:rPr>
          <w:sz w:val="20"/>
          <w:szCs w:val="20"/>
          <w:lang w:val="en-GB"/>
        </w:rPr>
      </w:pPr>
    </w:p>
    <w:p w:rsidR="004E36FF" w:rsidRDefault="004E36FF" w:rsidP="004E36FF">
      <w:pPr>
        <w:pStyle w:val="B1"/>
        <w:ind w:left="0" w:firstLine="0"/>
        <w:rPr>
          <w:sz w:val="20"/>
          <w:szCs w:val="20"/>
          <w:lang w:val="en-GB"/>
        </w:rPr>
      </w:pPr>
      <w:r w:rsidRPr="00535CA6">
        <w:rPr>
          <w:sz w:val="20"/>
          <w:szCs w:val="20"/>
          <w:lang w:val="en-GB"/>
        </w:rPr>
        <w:t>The WI has a study phase, with the following core objectives:</w:t>
      </w:r>
    </w:p>
    <w:p w:rsidR="004E36FF" w:rsidRPr="00535CA6" w:rsidRDefault="004E36FF" w:rsidP="004E36FF">
      <w:pPr>
        <w:pStyle w:val="B1"/>
        <w:rPr>
          <w:sz w:val="20"/>
          <w:szCs w:val="20"/>
          <w:lang w:val="en-GB"/>
        </w:rPr>
      </w:pPr>
    </w:p>
    <w:p w:rsidR="004E36FF" w:rsidRPr="00535CA6" w:rsidRDefault="004E36FF" w:rsidP="004E36FF">
      <w:pPr>
        <w:pStyle w:val="B1"/>
        <w:numPr>
          <w:ilvl w:val="0"/>
          <w:numId w:val="1"/>
        </w:numPr>
        <w:rPr>
          <w:bCs/>
          <w:sz w:val="20"/>
          <w:szCs w:val="20"/>
          <w:lang w:val="en-GB"/>
        </w:rPr>
      </w:pPr>
      <w:r w:rsidRPr="00535CA6">
        <w:rPr>
          <w:bCs/>
          <w:sz w:val="20"/>
          <w:szCs w:val="20"/>
          <w:lang w:val="en-GB"/>
        </w:rPr>
        <w:t>Define impact on 2.4 GHz Bluetooth operations</w:t>
      </w:r>
    </w:p>
    <w:p w:rsidR="004E36FF" w:rsidRPr="00535CA6" w:rsidRDefault="004E36FF" w:rsidP="004E36FF">
      <w:pPr>
        <w:pStyle w:val="B1"/>
        <w:ind w:left="0"/>
        <w:rPr>
          <w:bCs/>
          <w:sz w:val="20"/>
          <w:szCs w:val="20"/>
          <w:lang w:val="en-GB"/>
        </w:rPr>
      </w:pPr>
    </w:p>
    <w:p w:rsidR="004E36FF" w:rsidRPr="00535CA6" w:rsidRDefault="004E36FF" w:rsidP="004E36FF">
      <w:pPr>
        <w:pStyle w:val="B1"/>
        <w:numPr>
          <w:ilvl w:val="0"/>
          <w:numId w:val="1"/>
        </w:numPr>
        <w:rPr>
          <w:bCs/>
          <w:sz w:val="20"/>
          <w:szCs w:val="20"/>
          <w:lang w:val="en-GB"/>
        </w:rPr>
      </w:pPr>
      <w:r w:rsidRPr="00535CA6">
        <w:rPr>
          <w:bCs/>
          <w:sz w:val="20"/>
          <w:szCs w:val="20"/>
          <w:lang w:val="en-GB"/>
        </w:rPr>
        <w:t>Define impact on 2.4 GHz 802.11 operations</w:t>
      </w:r>
    </w:p>
    <w:p w:rsidR="004E36FF" w:rsidRPr="00535CA6" w:rsidRDefault="004E36FF" w:rsidP="004E36FF">
      <w:pPr>
        <w:pStyle w:val="B1"/>
        <w:ind w:left="0"/>
        <w:rPr>
          <w:bCs/>
          <w:sz w:val="20"/>
          <w:szCs w:val="20"/>
          <w:lang w:val="en-GB"/>
        </w:rPr>
      </w:pPr>
    </w:p>
    <w:p w:rsidR="004E36FF" w:rsidRPr="00C05F2D" w:rsidRDefault="004E36FF" w:rsidP="004E36FF">
      <w:pPr>
        <w:pStyle w:val="B1"/>
        <w:numPr>
          <w:ilvl w:val="0"/>
          <w:numId w:val="1"/>
        </w:numPr>
        <w:rPr>
          <w:bCs/>
          <w:sz w:val="20"/>
          <w:szCs w:val="20"/>
          <w:lang w:val="en-GB"/>
        </w:rPr>
      </w:pPr>
      <w:r w:rsidRPr="00535CA6">
        <w:rPr>
          <w:bCs/>
          <w:sz w:val="20"/>
          <w:szCs w:val="20"/>
          <w:lang w:val="en-GB"/>
        </w:rPr>
        <w:t>Address potential Bluetooth and 802.11 coexistence issues</w:t>
      </w:r>
    </w:p>
    <w:p w:rsidR="004E36FF" w:rsidRDefault="004E36FF" w:rsidP="004E36FF">
      <w:pPr>
        <w:pStyle w:val="B1"/>
        <w:ind w:left="0" w:firstLine="0"/>
        <w:rPr>
          <w:sz w:val="20"/>
          <w:szCs w:val="20"/>
        </w:rPr>
      </w:pPr>
    </w:p>
    <w:p w:rsidR="004D3A3B" w:rsidRPr="00C62F63" w:rsidRDefault="004E36FF" w:rsidP="00EE5474">
      <w:pPr>
        <w:pStyle w:val="B1"/>
        <w:ind w:left="0" w:firstLine="0"/>
        <w:rPr>
          <w:sz w:val="20"/>
          <w:szCs w:val="20"/>
        </w:rPr>
      </w:pPr>
      <w:r>
        <w:rPr>
          <w:sz w:val="20"/>
          <w:szCs w:val="20"/>
        </w:rPr>
        <w:t>The present contribution provides a TP to TR 36.791 (E-UTRA 2.4 GHz TDD Band for US)</w:t>
      </w:r>
      <w:r w:rsidR="00D856F2">
        <w:rPr>
          <w:sz w:val="20"/>
          <w:szCs w:val="20"/>
        </w:rPr>
        <w:t xml:space="preserve"> on special co-existence considerations for unlicensed operation in the 2.4 GHz ISM Band</w:t>
      </w:r>
      <w:r>
        <w:rPr>
          <w:sz w:val="20"/>
          <w:szCs w:val="20"/>
        </w:rPr>
        <w:t>.  This information is provided in support of the study phase of the approved</w:t>
      </w:r>
      <w:r w:rsidRPr="00C62F63">
        <w:rPr>
          <w:sz w:val="20"/>
          <w:szCs w:val="20"/>
        </w:rPr>
        <w:t xml:space="preserve"> work item (WI) for a ne</w:t>
      </w:r>
      <w:r>
        <w:rPr>
          <w:sz w:val="20"/>
          <w:szCs w:val="20"/>
        </w:rPr>
        <w:t xml:space="preserve">w US 2.4 GHz TDD Band for LTE.  </w:t>
      </w:r>
    </w:p>
    <w:p w:rsidR="00C62F63" w:rsidRDefault="00C62F63" w:rsidP="00EE5474">
      <w:pPr>
        <w:pStyle w:val="BodyText"/>
        <w:rPr>
          <w:sz w:val="20"/>
          <w:szCs w:val="20"/>
        </w:rPr>
      </w:pPr>
    </w:p>
    <w:p w:rsidR="00301569" w:rsidRPr="00C62F63" w:rsidRDefault="00301569" w:rsidP="00EE5474">
      <w:pPr>
        <w:pStyle w:val="BodyText"/>
        <w:rPr>
          <w:sz w:val="20"/>
          <w:szCs w:val="20"/>
        </w:rPr>
      </w:pPr>
    </w:p>
    <w:p w:rsidR="00483D58" w:rsidRPr="00C62F63" w:rsidRDefault="0046703F" w:rsidP="00EE5474">
      <w:pPr>
        <w:pStyle w:val="BodyText"/>
        <w:spacing w:before="6"/>
        <w:rPr>
          <w:sz w:val="20"/>
          <w:szCs w:val="20"/>
        </w:rPr>
      </w:pPr>
      <w:r>
        <w:rPr>
          <w:noProof/>
        </w:rPr>
        <w:pict w14:anchorId="2B33BD78">
          <v:line id="Straight Connector 8" o:spid="_x0000_s1028" style="position:absolute;z-index:1;visibility:visible;mso-wrap-style:square;mso-width-percent:0;mso-height-percent:0;mso-wrap-distance-left:0;mso-wrap-distance-top:-22e-5mm;mso-wrap-distance-right:0;mso-wrap-distance-bottom:-22e-5mm;mso-position-horizontal:absolute;mso-position-horizontal-relative:page;mso-position-vertical:absolute;mso-position-vertical-relative:text;mso-width-percent:0;mso-height-percent:0;mso-width-relative:page;mso-height-relative:page" from="55.2pt,10.45pt" to="540.2pt,10.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" strokeweight="1.44pt">
            <v:path arrowok="f"/>
            <o:lock v:ext="edit" aspectratio="t" verticies="t"/>
            <w10:wrap type="topAndBottom" anchorx="page"/>
          </v:line>
        </w:pict>
      </w:r>
    </w:p>
    <w:p w:rsidR="00483D58" w:rsidRPr="002C535D" w:rsidRDefault="00483D58" w:rsidP="00EE5474">
      <w:pPr>
        <w:pStyle w:val="Heading2"/>
        <w:rPr>
          <w:sz w:val="36"/>
          <w:lang w:val="en-US"/>
        </w:rPr>
      </w:pPr>
      <w:r w:rsidRPr="002C535D">
        <w:rPr>
          <w:sz w:val="36"/>
          <w:lang w:val="en-US"/>
        </w:rPr>
        <w:t>2</w:t>
      </w:r>
      <w:r w:rsidRPr="002C535D">
        <w:rPr>
          <w:sz w:val="36"/>
          <w:lang w:val="en-US"/>
        </w:rPr>
        <w:tab/>
        <w:t>References</w:t>
      </w:r>
    </w:p>
    <w:p w:rsidR="00483D58" w:rsidRDefault="00483D58" w:rsidP="00EE5474">
      <w:pPr>
        <w:rPr>
          <w:sz w:val="20"/>
        </w:rPr>
      </w:pPr>
      <w:r w:rsidRPr="002C535D">
        <w:rPr>
          <w:sz w:val="20"/>
        </w:rPr>
        <w:t>[1]</w:t>
      </w:r>
      <w:r w:rsidR="009E740F" w:rsidRPr="002C535D">
        <w:rPr>
          <w:sz w:val="20"/>
        </w:rPr>
        <w:tab/>
        <w:t xml:space="preserve">  </w:t>
      </w:r>
      <w:r w:rsidR="00E60E41" w:rsidRPr="00535CA6">
        <w:rPr>
          <w:sz w:val="20"/>
          <w:szCs w:val="20"/>
          <w:lang w:val="en-GB"/>
        </w:rPr>
        <w:t>RP-180583, New WI Proposal for E-UTRA 2.4 GHz TDD Band, Globalstar, RAN#79</w:t>
      </w:r>
    </w:p>
    <w:p w:rsidR="00E60E41" w:rsidRDefault="00E60E41" w:rsidP="00EE5474">
      <w:pPr>
        <w:rPr>
          <w:sz w:val="20"/>
        </w:rPr>
      </w:pPr>
    </w:p>
    <w:p w:rsidR="00E60E41" w:rsidRPr="002C535D" w:rsidRDefault="004D3A3B" w:rsidP="00EE5474">
      <w:pPr>
        <w:rPr>
          <w:sz w:val="20"/>
        </w:rPr>
      </w:pPr>
      <w:r>
        <w:rPr>
          <w:sz w:val="20"/>
        </w:rPr>
        <w:t>[2</w:t>
      </w:r>
      <w:r w:rsidR="00E60E41" w:rsidRPr="002C535D">
        <w:rPr>
          <w:sz w:val="20"/>
        </w:rPr>
        <w:t>]</w:t>
      </w:r>
      <w:r w:rsidR="00E60E41" w:rsidRPr="002C535D">
        <w:rPr>
          <w:sz w:val="20"/>
        </w:rPr>
        <w:tab/>
        <w:t xml:space="preserve">  3GPP TR 21.905 “Vocabulary for 3GPP Specifications.”</w:t>
      </w:r>
    </w:p>
    <w:p w:rsidR="00483D58" w:rsidRPr="002C535D" w:rsidRDefault="00483D58" w:rsidP="00EE5474">
      <w:pPr>
        <w:rPr>
          <w:sz w:val="20"/>
        </w:rPr>
      </w:pPr>
    </w:p>
    <w:p w:rsidR="00483D58" w:rsidRPr="002C535D" w:rsidRDefault="00D62485" w:rsidP="00EE5474">
      <w:pPr>
        <w:ind w:left="852" w:hanging="852"/>
        <w:rPr>
          <w:sz w:val="20"/>
        </w:rPr>
      </w:pPr>
      <w:r>
        <w:rPr>
          <w:sz w:val="20"/>
        </w:rPr>
        <w:t>[3</w:t>
      </w:r>
      <w:r w:rsidR="00483D58" w:rsidRPr="002C535D">
        <w:rPr>
          <w:sz w:val="20"/>
        </w:rPr>
        <w:t>]</w:t>
      </w:r>
      <w:r w:rsidR="00483D58" w:rsidRPr="002C535D">
        <w:rPr>
          <w:sz w:val="20"/>
        </w:rPr>
        <w:tab/>
        <w:t>Terrestrial Use of the 2473[2483.5]-2495 MHz Band for Low-Power Mobile Broadband Networks; Amendments to Rules for the Ancillary Terrestrial Component of Mobile Satellite Service Systems, IB Docket No. 13-213, Report and Order, FCC 16-181</w:t>
      </w:r>
    </w:p>
    <w:p w:rsidR="00651691" w:rsidRDefault="00651691" w:rsidP="00651691">
      <w:pPr>
        <w:rPr>
          <w:sz w:val="20"/>
        </w:rPr>
      </w:pPr>
    </w:p>
    <w:p w:rsidR="00483D58" w:rsidRDefault="00477E4E" w:rsidP="00651691">
      <w:pPr>
        <w:ind w:left="852" w:hanging="820"/>
        <w:rPr>
          <w:sz w:val="20"/>
        </w:rPr>
      </w:pPr>
      <w:r>
        <w:rPr>
          <w:sz w:val="20"/>
        </w:rPr>
        <w:t>[4</w:t>
      </w:r>
      <w:r w:rsidR="00483D58" w:rsidRPr="002C535D">
        <w:rPr>
          <w:sz w:val="20"/>
        </w:rPr>
        <w:t>]</w:t>
      </w:r>
      <w:r w:rsidR="00483D58" w:rsidRPr="002C535D">
        <w:rPr>
          <w:sz w:val="20"/>
        </w:rPr>
        <w:tab/>
        <w:t>47 CFR Part 15.5(b)-(c).  “</w:t>
      </w:r>
      <w:r w:rsidR="007D1B69">
        <w:rPr>
          <w:sz w:val="20"/>
        </w:rPr>
        <w:t xml:space="preserve">Operation of </w:t>
      </w:r>
      <w:r w:rsidR="00483D58" w:rsidRPr="002C535D">
        <w:rPr>
          <w:sz w:val="20"/>
        </w:rPr>
        <w:t xml:space="preserve">an intentional, unintentional, or incidental radiator is subject to the conditions that no harmful interference is </w:t>
      </w:r>
      <w:r w:rsidR="004E40B2" w:rsidRPr="002C535D">
        <w:rPr>
          <w:sz w:val="20"/>
        </w:rPr>
        <w:t>caused,</w:t>
      </w:r>
      <w:r w:rsidR="00483D58" w:rsidRPr="002C535D">
        <w:rPr>
          <w:sz w:val="20"/>
        </w:rPr>
        <w:t xml:space="preserve"> and that interference must be accepted”</w:t>
      </w:r>
    </w:p>
    <w:p w:rsidR="00E350E4" w:rsidRDefault="00E350E4" w:rsidP="00651691">
      <w:pPr>
        <w:ind w:left="852" w:hanging="820"/>
        <w:rPr>
          <w:sz w:val="20"/>
        </w:rPr>
      </w:pPr>
    </w:p>
    <w:p w:rsidR="00E350E4" w:rsidRPr="002C535D" w:rsidRDefault="00E350E4" w:rsidP="00E350E4">
      <w:pPr>
        <w:ind w:left="852" w:hanging="852"/>
        <w:rPr>
          <w:sz w:val="20"/>
        </w:rPr>
      </w:pPr>
      <w:r>
        <w:rPr>
          <w:sz w:val="20"/>
        </w:rPr>
        <w:t>[5</w:t>
      </w:r>
      <w:r w:rsidRPr="002C535D">
        <w:rPr>
          <w:sz w:val="20"/>
        </w:rPr>
        <w:t>]</w:t>
      </w:r>
      <w:r w:rsidRPr="002C535D">
        <w:rPr>
          <w:sz w:val="20"/>
        </w:rPr>
        <w:tab/>
        <w:t>Ter</w:t>
      </w:r>
      <w:r>
        <w:rPr>
          <w:sz w:val="20"/>
        </w:rPr>
        <w:t>restrial Use of the 2473</w:t>
      </w:r>
      <w:r w:rsidRPr="002C535D">
        <w:rPr>
          <w:sz w:val="20"/>
        </w:rPr>
        <w:t>-2495 MHz Band for Low-Power Mobile Broadband Networks; Amendments to Rules for the Ancillary Terrestrial Component of Mobile Satellite Service Systems, IB Dock</w:t>
      </w:r>
      <w:r>
        <w:rPr>
          <w:sz w:val="20"/>
        </w:rPr>
        <w:t>et No. 13-213, Notice of Proposed Rulemaking, FCC 13-147</w:t>
      </w:r>
    </w:p>
    <w:p w:rsidR="00E350E4" w:rsidRDefault="00E350E4" w:rsidP="00651691">
      <w:pPr>
        <w:ind w:left="852" w:hanging="820"/>
        <w:rPr>
          <w:sz w:val="20"/>
        </w:rPr>
      </w:pPr>
    </w:p>
    <w:p w:rsidR="008C384E" w:rsidRDefault="008C384E" w:rsidP="008C384E">
      <w:pPr>
        <w:ind w:left="852" w:hanging="852"/>
        <w:rPr>
          <w:sz w:val="20"/>
        </w:rPr>
      </w:pPr>
      <w:r>
        <w:rPr>
          <w:sz w:val="20"/>
        </w:rPr>
        <w:t>[6]</w:t>
      </w:r>
      <w:r>
        <w:rPr>
          <w:sz w:val="20"/>
        </w:rPr>
        <w:tab/>
        <w:t xml:space="preserve">47 CFR Part 15.209.  </w:t>
      </w:r>
      <w:r w:rsidRPr="002C535D">
        <w:rPr>
          <w:sz w:val="20"/>
        </w:rPr>
        <w:t>“Radiated emission limits; general requirements.”</w:t>
      </w:r>
    </w:p>
    <w:p w:rsidR="00F71F81" w:rsidRDefault="00F71F81" w:rsidP="008C384E">
      <w:pPr>
        <w:ind w:left="852" w:hanging="852"/>
        <w:rPr>
          <w:sz w:val="20"/>
        </w:rPr>
      </w:pPr>
    </w:p>
    <w:p w:rsidR="00F71F81" w:rsidRDefault="00F71F81" w:rsidP="008C384E">
      <w:pPr>
        <w:ind w:left="852" w:hanging="852"/>
        <w:rPr>
          <w:sz w:val="20"/>
        </w:rPr>
      </w:pPr>
      <w:r>
        <w:rPr>
          <w:sz w:val="20"/>
        </w:rPr>
        <w:t>[7]</w:t>
      </w:r>
      <w:r w:rsidR="0003751D">
        <w:rPr>
          <w:sz w:val="20"/>
        </w:rPr>
        <w:tab/>
      </w:r>
      <w:r w:rsidR="00823B8F">
        <w:rPr>
          <w:sz w:val="20"/>
        </w:rPr>
        <w:t xml:space="preserve">Separate </w:t>
      </w:r>
      <w:r w:rsidR="0003751D">
        <w:rPr>
          <w:sz w:val="20"/>
        </w:rPr>
        <w:t>Comments of National Cable</w:t>
      </w:r>
      <w:r w:rsidR="00823B8F">
        <w:rPr>
          <w:sz w:val="20"/>
        </w:rPr>
        <w:t xml:space="preserve"> Telecommunications Association (NCTA) and Wi-Fi Alliance</w:t>
      </w:r>
      <w:r w:rsidR="005C3E7B">
        <w:rPr>
          <w:sz w:val="20"/>
        </w:rPr>
        <w:t>, FCC, IB Docket No. 12-213, Filed May 5, 2014.</w:t>
      </w:r>
    </w:p>
    <w:p w:rsidR="00F71F81" w:rsidRDefault="00F71F81" w:rsidP="008C384E">
      <w:pPr>
        <w:ind w:left="852" w:hanging="852"/>
        <w:rPr>
          <w:sz w:val="20"/>
        </w:rPr>
      </w:pPr>
    </w:p>
    <w:p w:rsidR="00F71F81" w:rsidRPr="002C535D" w:rsidRDefault="00F71F81" w:rsidP="008C384E">
      <w:pPr>
        <w:ind w:left="852" w:hanging="852"/>
        <w:rPr>
          <w:sz w:val="20"/>
        </w:rPr>
      </w:pPr>
      <w:r>
        <w:rPr>
          <w:sz w:val="20"/>
        </w:rPr>
        <w:t>[8]</w:t>
      </w:r>
      <w:r w:rsidR="00823B8F">
        <w:rPr>
          <w:sz w:val="20"/>
        </w:rPr>
        <w:tab/>
        <w:t>Comments of Bluetooth Special Interest Group (SIG)</w:t>
      </w:r>
      <w:r w:rsidR="005C3E7B">
        <w:rPr>
          <w:sz w:val="20"/>
        </w:rPr>
        <w:t>, FCC, IB Docket No. 12-213, Filed May 2, 2014.</w:t>
      </w:r>
    </w:p>
    <w:p w:rsidR="00651691" w:rsidRPr="002C535D" w:rsidRDefault="00651691" w:rsidP="00651691">
      <w:pPr>
        <w:ind w:left="852" w:hanging="820"/>
        <w:rPr>
          <w:sz w:val="20"/>
        </w:rPr>
      </w:pPr>
    </w:p>
    <w:p w:rsidR="00C62F63" w:rsidRDefault="00AA07A4" w:rsidP="00CF5601">
      <w:pPr>
        <w:ind w:left="852" w:hanging="852"/>
        <w:rPr>
          <w:sz w:val="20"/>
        </w:rPr>
      </w:pPr>
      <w:r>
        <w:rPr>
          <w:sz w:val="20"/>
        </w:rPr>
        <w:lastRenderedPageBreak/>
        <w:t>[9</w:t>
      </w:r>
      <w:r w:rsidR="00651691" w:rsidRPr="002C535D">
        <w:rPr>
          <w:sz w:val="20"/>
        </w:rPr>
        <w:t>]</w:t>
      </w:r>
      <w:r w:rsidR="00651691" w:rsidRPr="002C535D">
        <w:rPr>
          <w:sz w:val="20"/>
        </w:rPr>
        <w:tab/>
        <w:t>47 CFR Part 15.247.  “Operation within the bands 902-928 MHz, 2400-2483.5 MHz, and 5725-5850 MHz.”</w:t>
      </w:r>
    </w:p>
    <w:p w:rsidR="00085E43" w:rsidRDefault="00085E43" w:rsidP="00CF5601">
      <w:pPr>
        <w:ind w:left="852" w:hanging="852"/>
        <w:rPr>
          <w:sz w:val="20"/>
        </w:rPr>
      </w:pPr>
    </w:p>
    <w:p w:rsidR="00085E43" w:rsidRPr="00726CDE" w:rsidRDefault="00085E43" w:rsidP="00726CDE">
      <w:pPr>
        <w:rPr>
          <w:rFonts w:eastAsia="Calibri"/>
          <w:sz w:val="20"/>
          <w:szCs w:val="20"/>
        </w:rPr>
      </w:pPr>
      <w:r>
        <w:rPr>
          <w:sz w:val="20"/>
        </w:rPr>
        <w:t>[10]</w:t>
      </w:r>
      <w:r w:rsidR="00726CDE">
        <w:rPr>
          <w:sz w:val="20"/>
        </w:rPr>
        <w:tab/>
      </w:r>
      <w:r w:rsidR="00695376">
        <w:rPr>
          <w:sz w:val="20"/>
        </w:rPr>
        <w:t xml:space="preserve">   </w:t>
      </w:r>
      <w:r w:rsidR="00695376">
        <w:rPr>
          <w:rFonts w:eastAsia="Calibri"/>
          <w:sz w:val="20"/>
          <w:szCs w:val="20"/>
        </w:rPr>
        <w:t>FCC OET Report, FCC, IB Docket No. 12-213, Filed March 27, 2015</w:t>
      </w:r>
      <w:r w:rsidR="00BD5B10">
        <w:rPr>
          <w:rFonts w:eastAsia="Calibri"/>
          <w:sz w:val="20"/>
          <w:szCs w:val="20"/>
        </w:rPr>
        <w:t>,</w:t>
      </w:r>
      <w:r w:rsidR="00695376">
        <w:rPr>
          <w:rFonts w:eastAsia="Calibri"/>
          <w:sz w:val="20"/>
          <w:szCs w:val="20"/>
        </w:rPr>
        <w:t xml:space="preserve"> </w:t>
      </w:r>
      <w:r w:rsidR="00695376" w:rsidRPr="00695376">
        <w:rPr>
          <w:rFonts w:eastAsia="Calibri"/>
          <w:i/>
          <w:sz w:val="20"/>
          <w:szCs w:val="20"/>
        </w:rPr>
        <w:t xml:space="preserve">see </w:t>
      </w:r>
      <w:hyperlink r:id="rId7" w:history="1">
        <w:r w:rsidR="00726CDE" w:rsidRPr="006308D1">
          <w:rPr>
            <w:rStyle w:val="Hyperlink"/>
            <w:rFonts w:eastAsia="Calibri"/>
            <w:sz w:val="20"/>
            <w:szCs w:val="20"/>
          </w:rPr>
          <w:t>https://ecfsapi.fcc.gov/fil</w:t>
        </w:r>
        <w:r w:rsidR="00726CDE" w:rsidRPr="006308D1">
          <w:rPr>
            <w:rStyle w:val="Hyperlink"/>
            <w:rFonts w:eastAsia="Calibri"/>
            <w:sz w:val="20"/>
            <w:szCs w:val="20"/>
          </w:rPr>
          <w:t>e</w:t>
        </w:r>
        <w:r w:rsidR="00726CDE" w:rsidRPr="006308D1">
          <w:rPr>
            <w:rStyle w:val="Hyperlink"/>
            <w:rFonts w:eastAsia="Calibri"/>
            <w:sz w:val="20"/>
            <w:szCs w:val="20"/>
          </w:rPr>
          <w:t>/60001042196.pdf</w:t>
        </w:r>
      </w:hyperlink>
    </w:p>
    <w:p w:rsidR="00085E43" w:rsidRDefault="00085E43" w:rsidP="00CF5601">
      <w:pPr>
        <w:ind w:left="852" w:hanging="852"/>
        <w:rPr>
          <w:sz w:val="20"/>
        </w:rPr>
      </w:pPr>
    </w:p>
    <w:p w:rsidR="00726CDE" w:rsidRPr="004E5AF1" w:rsidRDefault="00085E43" w:rsidP="00726CDE">
      <w:pPr>
        <w:rPr>
          <w:sz w:val="20"/>
          <w:szCs w:val="20"/>
        </w:rPr>
      </w:pPr>
      <w:r>
        <w:rPr>
          <w:sz w:val="20"/>
        </w:rPr>
        <w:t>[11]</w:t>
      </w:r>
      <w:r w:rsidR="00726CDE">
        <w:rPr>
          <w:sz w:val="20"/>
        </w:rPr>
        <w:tab/>
      </w:r>
      <w:r w:rsidR="00CF3302">
        <w:rPr>
          <w:sz w:val="20"/>
        </w:rPr>
        <w:t xml:space="preserve">  </w:t>
      </w:r>
      <w:r w:rsidR="00C82D92">
        <w:rPr>
          <w:rFonts w:eastAsia="Calibri"/>
          <w:sz w:val="20"/>
          <w:szCs w:val="20"/>
        </w:rPr>
        <w:t>FCC Testing Analysis Submitted by Globalstar</w:t>
      </w:r>
      <w:r w:rsidR="00CF3302">
        <w:rPr>
          <w:rFonts w:eastAsia="Calibri"/>
          <w:sz w:val="20"/>
          <w:szCs w:val="20"/>
        </w:rPr>
        <w:t>, FCC, IB D</w:t>
      </w:r>
      <w:r w:rsidR="00C82D92">
        <w:rPr>
          <w:rFonts w:eastAsia="Calibri"/>
          <w:sz w:val="20"/>
          <w:szCs w:val="20"/>
        </w:rPr>
        <w:t>ocket No. 12-213, Filed March 10</w:t>
      </w:r>
      <w:r w:rsidR="00CF3302">
        <w:rPr>
          <w:rFonts w:eastAsia="Calibri"/>
          <w:sz w:val="20"/>
          <w:szCs w:val="20"/>
        </w:rPr>
        <w:t>, 2015</w:t>
      </w:r>
      <w:r w:rsidR="00BD5B10">
        <w:rPr>
          <w:rFonts w:eastAsia="Calibri"/>
          <w:sz w:val="20"/>
          <w:szCs w:val="20"/>
        </w:rPr>
        <w:t xml:space="preserve">, </w:t>
      </w:r>
      <w:r w:rsidR="00CF3302" w:rsidRPr="00695376">
        <w:rPr>
          <w:rFonts w:eastAsia="Calibri"/>
          <w:i/>
          <w:sz w:val="20"/>
          <w:szCs w:val="20"/>
        </w:rPr>
        <w:t xml:space="preserve">see </w:t>
      </w:r>
      <w:hyperlink r:id="rId8" w:history="1">
        <w:r w:rsidR="00726CDE" w:rsidRPr="00152F7A">
          <w:rPr>
            <w:rStyle w:val="Hyperlink"/>
            <w:sz w:val="20"/>
            <w:szCs w:val="20"/>
          </w:rPr>
          <w:t>https://ecfsapi.fcc.gov/file/60</w:t>
        </w:r>
        <w:r w:rsidR="00726CDE" w:rsidRPr="00152F7A">
          <w:rPr>
            <w:rStyle w:val="Hyperlink"/>
            <w:sz w:val="20"/>
            <w:szCs w:val="20"/>
          </w:rPr>
          <w:t>0</w:t>
        </w:r>
        <w:r w:rsidR="00726CDE" w:rsidRPr="00152F7A">
          <w:rPr>
            <w:rStyle w:val="Hyperlink"/>
            <w:sz w:val="20"/>
            <w:szCs w:val="20"/>
          </w:rPr>
          <w:t>01040010.pdf</w:t>
        </w:r>
      </w:hyperlink>
    </w:p>
    <w:p w:rsidR="00085E43" w:rsidRDefault="00085E43" w:rsidP="00726CDE">
      <w:pPr>
        <w:rPr>
          <w:sz w:val="20"/>
        </w:rPr>
      </w:pPr>
    </w:p>
    <w:p w:rsidR="00085E43" w:rsidRPr="00D871BE" w:rsidRDefault="00085E43" w:rsidP="00D871BE">
      <w:pPr>
        <w:rPr>
          <w:sz w:val="20"/>
          <w:szCs w:val="20"/>
        </w:rPr>
      </w:pPr>
      <w:r>
        <w:rPr>
          <w:sz w:val="20"/>
        </w:rPr>
        <w:t>[12]</w:t>
      </w:r>
      <w:r w:rsidR="00D871BE">
        <w:rPr>
          <w:sz w:val="20"/>
        </w:rPr>
        <w:tab/>
      </w:r>
      <w:r w:rsidR="00C82D92">
        <w:rPr>
          <w:sz w:val="20"/>
        </w:rPr>
        <w:t xml:space="preserve">  </w:t>
      </w:r>
      <w:r w:rsidR="00C82D92">
        <w:rPr>
          <w:rFonts w:eastAsia="Calibri"/>
          <w:sz w:val="20"/>
          <w:szCs w:val="20"/>
        </w:rPr>
        <w:t>FCC Testing Analysis Submitted by the Bluetooth SIG, FCC, IB D</w:t>
      </w:r>
      <w:r w:rsidR="004B6A7B">
        <w:rPr>
          <w:rFonts w:eastAsia="Calibri"/>
          <w:sz w:val="20"/>
          <w:szCs w:val="20"/>
        </w:rPr>
        <w:t>ocket No. 12-213, Filed March 20, 2015</w:t>
      </w:r>
      <w:r w:rsidR="00BD5B10">
        <w:rPr>
          <w:rFonts w:eastAsia="Calibri"/>
          <w:sz w:val="20"/>
          <w:szCs w:val="20"/>
        </w:rPr>
        <w:t xml:space="preserve">, </w:t>
      </w:r>
      <w:r w:rsidR="00C82D92" w:rsidRPr="00695376">
        <w:rPr>
          <w:rFonts w:eastAsia="Calibri"/>
          <w:i/>
          <w:sz w:val="20"/>
          <w:szCs w:val="20"/>
        </w:rPr>
        <w:t>see</w:t>
      </w:r>
      <w:r w:rsidR="00D871BE">
        <w:rPr>
          <w:sz w:val="20"/>
          <w:szCs w:val="20"/>
        </w:rPr>
        <w:t xml:space="preserve">  </w:t>
      </w:r>
      <w:r w:rsidR="00D871BE">
        <w:rPr>
          <w:rStyle w:val="Hyperlink"/>
          <w:sz w:val="20"/>
          <w:szCs w:val="20"/>
        </w:rPr>
        <w:fldChar w:fldCharType="begin"/>
      </w:r>
      <w:r w:rsidR="00D871BE">
        <w:rPr>
          <w:rStyle w:val="Hyperlink"/>
          <w:sz w:val="20"/>
          <w:szCs w:val="20"/>
        </w:rPr>
        <w:instrText xml:space="preserve"> HYPERLINK "https://ecfsapi.fcc.gov/file/60001041082.pdf" </w:instrText>
      </w:r>
      <w:r w:rsidR="00D871BE">
        <w:rPr>
          <w:rStyle w:val="Hyperlink"/>
          <w:sz w:val="20"/>
          <w:szCs w:val="20"/>
        </w:rPr>
        <w:fldChar w:fldCharType="separate"/>
      </w:r>
      <w:r w:rsidR="00D871BE" w:rsidRPr="0006643D">
        <w:rPr>
          <w:rStyle w:val="Hyperlink"/>
          <w:sz w:val="20"/>
          <w:szCs w:val="20"/>
        </w:rPr>
        <w:t>https://ecfsapi.fcc.gov/file/60001041082.pdf</w:t>
      </w:r>
      <w:r w:rsidR="00D871BE">
        <w:rPr>
          <w:rStyle w:val="Hyperlink"/>
          <w:sz w:val="20"/>
          <w:szCs w:val="20"/>
        </w:rPr>
        <w:fldChar w:fldCharType="end"/>
      </w:r>
    </w:p>
    <w:p w:rsidR="00085E43" w:rsidRDefault="00085E43" w:rsidP="00085E43">
      <w:pPr>
        <w:ind w:left="852" w:hanging="852"/>
        <w:rPr>
          <w:sz w:val="20"/>
        </w:rPr>
      </w:pPr>
    </w:p>
    <w:p w:rsidR="00D871BE" w:rsidRPr="00064797" w:rsidRDefault="00085E43" w:rsidP="00D871BE">
      <w:pPr>
        <w:rPr>
          <w:sz w:val="20"/>
          <w:szCs w:val="20"/>
        </w:rPr>
      </w:pPr>
      <w:r>
        <w:rPr>
          <w:sz w:val="20"/>
        </w:rPr>
        <w:t>[13]</w:t>
      </w:r>
      <w:r w:rsidR="00D871BE">
        <w:rPr>
          <w:sz w:val="20"/>
        </w:rPr>
        <w:tab/>
      </w:r>
      <w:r w:rsidR="00572AB3">
        <w:rPr>
          <w:sz w:val="20"/>
        </w:rPr>
        <w:t xml:space="preserve">  </w:t>
      </w:r>
      <w:r w:rsidR="004B6A7B">
        <w:rPr>
          <w:rFonts w:eastAsia="Calibri"/>
          <w:sz w:val="20"/>
          <w:szCs w:val="20"/>
        </w:rPr>
        <w:t>FCC Testing Analysis Submitted by CableLabs, FCC, IB Docket No. 12-213, Filed April 14, 2015</w:t>
      </w:r>
      <w:r w:rsidR="00BD5B10">
        <w:rPr>
          <w:rFonts w:eastAsia="Calibri"/>
          <w:sz w:val="20"/>
          <w:szCs w:val="20"/>
        </w:rPr>
        <w:t xml:space="preserve">, </w:t>
      </w:r>
      <w:r w:rsidR="004B6A7B" w:rsidRPr="00695376">
        <w:rPr>
          <w:rFonts w:eastAsia="Calibri"/>
          <w:i/>
          <w:sz w:val="20"/>
          <w:szCs w:val="20"/>
        </w:rPr>
        <w:t xml:space="preserve">see </w:t>
      </w:r>
      <w:hyperlink r:id="rId9" w:history="1">
        <w:r w:rsidR="00D871BE" w:rsidRPr="00064797">
          <w:rPr>
            <w:rStyle w:val="Hyperlink"/>
            <w:sz w:val="20"/>
            <w:szCs w:val="20"/>
          </w:rPr>
          <w:t>https://ecfsapi.fcc.gov/file/60001043396</w:t>
        </w:r>
        <w:r w:rsidR="00D871BE" w:rsidRPr="00064797">
          <w:rPr>
            <w:rStyle w:val="Hyperlink"/>
            <w:sz w:val="20"/>
            <w:szCs w:val="20"/>
          </w:rPr>
          <w:t>.</w:t>
        </w:r>
        <w:r w:rsidR="00D871BE" w:rsidRPr="00064797">
          <w:rPr>
            <w:rStyle w:val="Hyperlink"/>
            <w:sz w:val="20"/>
            <w:szCs w:val="20"/>
          </w:rPr>
          <w:t>pdf</w:t>
        </w:r>
      </w:hyperlink>
    </w:p>
    <w:p w:rsidR="00085E43" w:rsidRDefault="00085E43" w:rsidP="00D871BE">
      <w:pPr>
        <w:rPr>
          <w:sz w:val="20"/>
        </w:rPr>
      </w:pPr>
    </w:p>
    <w:p w:rsidR="002975CD" w:rsidRPr="00177144" w:rsidRDefault="00085E43" w:rsidP="002975CD">
      <w:pPr>
        <w:rPr>
          <w:sz w:val="20"/>
          <w:szCs w:val="20"/>
        </w:rPr>
      </w:pPr>
      <w:r>
        <w:rPr>
          <w:sz w:val="20"/>
        </w:rPr>
        <w:t>[14]</w:t>
      </w:r>
      <w:r w:rsidR="002975CD">
        <w:rPr>
          <w:sz w:val="20"/>
        </w:rPr>
        <w:tab/>
      </w:r>
      <w:r w:rsidR="00572AB3">
        <w:rPr>
          <w:sz w:val="20"/>
        </w:rPr>
        <w:t xml:space="preserve">  </w:t>
      </w:r>
      <w:r w:rsidR="00BD5B10">
        <w:rPr>
          <w:rFonts w:eastAsia="Calibri"/>
          <w:sz w:val="20"/>
          <w:szCs w:val="20"/>
        </w:rPr>
        <w:t xml:space="preserve">FCC OET Report, FCC, IB Docket No. 12-213, Filed May 7, 2015, </w:t>
      </w:r>
      <w:r w:rsidR="00BD5B10" w:rsidRPr="00695376">
        <w:rPr>
          <w:rFonts w:eastAsia="Calibri"/>
          <w:i/>
          <w:sz w:val="20"/>
          <w:szCs w:val="20"/>
        </w:rPr>
        <w:t xml:space="preserve">see </w:t>
      </w:r>
      <w:hyperlink r:id="rId10" w:history="1">
        <w:r w:rsidR="002975CD" w:rsidRPr="00177144">
          <w:rPr>
            <w:rStyle w:val="Hyperlink"/>
            <w:sz w:val="20"/>
            <w:szCs w:val="20"/>
          </w:rPr>
          <w:t>https://ecfsapi.fcc.gov/file/60001046632</w:t>
        </w:r>
        <w:r w:rsidR="002975CD" w:rsidRPr="00177144">
          <w:rPr>
            <w:rStyle w:val="Hyperlink"/>
            <w:sz w:val="20"/>
            <w:szCs w:val="20"/>
          </w:rPr>
          <w:t>.</w:t>
        </w:r>
        <w:r w:rsidR="002975CD" w:rsidRPr="00177144">
          <w:rPr>
            <w:rStyle w:val="Hyperlink"/>
            <w:sz w:val="20"/>
            <w:szCs w:val="20"/>
          </w:rPr>
          <w:t>pdf</w:t>
        </w:r>
      </w:hyperlink>
    </w:p>
    <w:p w:rsidR="00085E43" w:rsidRDefault="00085E43" w:rsidP="002975CD">
      <w:pPr>
        <w:rPr>
          <w:sz w:val="20"/>
        </w:rPr>
      </w:pPr>
    </w:p>
    <w:p w:rsidR="002975CD" w:rsidRPr="008820CF" w:rsidRDefault="00085E43" w:rsidP="002975CD">
      <w:pPr>
        <w:rPr>
          <w:rFonts w:eastAsia="Calibri"/>
          <w:sz w:val="20"/>
          <w:szCs w:val="20"/>
        </w:rPr>
      </w:pPr>
      <w:r>
        <w:rPr>
          <w:sz w:val="20"/>
        </w:rPr>
        <w:t>[15]</w:t>
      </w:r>
      <w:r w:rsidR="002975CD">
        <w:rPr>
          <w:sz w:val="20"/>
        </w:rPr>
        <w:tab/>
      </w:r>
      <w:r w:rsidR="00572AB3">
        <w:rPr>
          <w:sz w:val="20"/>
        </w:rPr>
        <w:t xml:space="preserve"> </w:t>
      </w:r>
      <w:r w:rsidR="002D4385">
        <w:rPr>
          <w:rFonts w:eastAsia="Calibri"/>
          <w:sz w:val="20"/>
          <w:szCs w:val="20"/>
        </w:rPr>
        <w:t xml:space="preserve">Microsoft Technical Submission, FCC, IB Docket No. 12-213, Filed September 13, 2016, </w:t>
      </w:r>
      <w:r w:rsidR="002D4385" w:rsidRPr="00695376">
        <w:rPr>
          <w:rFonts w:eastAsia="Calibri"/>
          <w:i/>
          <w:sz w:val="20"/>
          <w:szCs w:val="20"/>
        </w:rPr>
        <w:t xml:space="preserve">see </w:t>
      </w:r>
      <w:hyperlink r:id="rId11" w:history="1">
        <w:r w:rsidR="002975CD" w:rsidRPr="0043235C">
          <w:rPr>
            <w:rStyle w:val="Hyperlink"/>
            <w:sz w:val="20"/>
          </w:rPr>
          <w:t>https://ww</w:t>
        </w:r>
        <w:r w:rsidR="002975CD" w:rsidRPr="0043235C">
          <w:rPr>
            <w:rStyle w:val="Hyperlink"/>
            <w:sz w:val="20"/>
          </w:rPr>
          <w:t>w</w:t>
        </w:r>
        <w:r w:rsidR="002975CD" w:rsidRPr="0043235C">
          <w:rPr>
            <w:rStyle w:val="Hyperlink"/>
            <w:sz w:val="20"/>
          </w:rPr>
          <w:t>.fcc.gov/ecfs/filing/1091236244340</w:t>
        </w:r>
      </w:hyperlink>
    </w:p>
    <w:p w:rsidR="00085E43" w:rsidRDefault="00085E43" w:rsidP="002975CD">
      <w:pPr>
        <w:rPr>
          <w:sz w:val="20"/>
        </w:rPr>
      </w:pPr>
    </w:p>
    <w:p w:rsidR="002975CD" w:rsidRDefault="00085E43" w:rsidP="002975CD">
      <w:pPr>
        <w:rPr>
          <w:sz w:val="20"/>
          <w:szCs w:val="20"/>
        </w:rPr>
      </w:pPr>
      <w:r>
        <w:rPr>
          <w:sz w:val="20"/>
        </w:rPr>
        <w:t>[16]</w:t>
      </w:r>
      <w:r w:rsidR="002975CD">
        <w:rPr>
          <w:sz w:val="20"/>
        </w:rPr>
        <w:tab/>
      </w:r>
      <w:r w:rsidR="002975CD" w:rsidRPr="002975CD">
        <w:rPr>
          <w:sz w:val="20"/>
          <w:szCs w:val="20"/>
        </w:rPr>
        <w:t xml:space="preserve"> </w:t>
      </w:r>
      <w:r w:rsidR="00ED1FD2">
        <w:rPr>
          <w:rFonts w:eastAsia="Calibri"/>
          <w:sz w:val="20"/>
          <w:szCs w:val="20"/>
        </w:rPr>
        <w:t>Globalstar</w:t>
      </w:r>
      <w:r w:rsidR="00B943EE">
        <w:rPr>
          <w:rFonts w:eastAsia="Calibri"/>
          <w:sz w:val="20"/>
          <w:szCs w:val="20"/>
        </w:rPr>
        <w:t xml:space="preserve"> Technical Submission, FCC, IB Docket No. 12-213, Filed</w:t>
      </w:r>
      <w:r w:rsidR="00ED1FD2">
        <w:rPr>
          <w:rFonts w:eastAsia="Calibri"/>
          <w:sz w:val="20"/>
          <w:szCs w:val="20"/>
        </w:rPr>
        <w:t xml:space="preserve"> October 14</w:t>
      </w:r>
      <w:r w:rsidR="00B943EE">
        <w:rPr>
          <w:rFonts w:eastAsia="Calibri"/>
          <w:sz w:val="20"/>
          <w:szCs w:val="20"/>
        </w:rPr>
        <w:t xml:space="preserve">, 2016, </w:t>
      </w:r>
      <w:r w:rsidR="00B943EE" w:rsidRPr="00695376">
        <w:rPr>
          <w:rFonts w:eastAsia="Calibri"/>
          <w:i/>
          <w:sz w:val="20"/>
          <w:szCs w:val="20"/>
        </w:rPr>
        <w:t xml:space="preserve">see </w:t>
      </w:r>
      <w:hyperlink r:id="rId12" w:history="1">
        <w:r w:rsidR="002975CD" w:rsidRPr="006308D1">
          <w:rPr>
            <w:rStyle w:val="Hyperlink"/>
            <w:sz w:val="20"/>
            <w:szCs w:val="20"/>
          </w:rPr>
          <w:t>https://www.fcc.gov/ecfs/filing/101414430178</w:t>
        </w:r>
      </w:hyperlink>
    </w:p>
    <w:p w:rsidR="00085E43" w:rsidRDefault="00085E43" w:rsidP="00085E43">
      <w:pPr>
        <w:ind w:left="852" w:hanging="852"/>
        <w:rPr>
          <w:sz w:val="20"/>
        </w:rPr>
      </w:pPr>
    </w:p>
    <w:p w:rsidR="00301569" w:rsidRDefault="00301569" w:rsidP="002975CD">
      <w:pPr>
        <w:rPr>
          <w:sz w:val="20"/>
        </w:rPr>
      </w:pPr>
    </w:p>
    <w:p w:rsidR="002975CD" w:rsidRPr="00CF5601" w:rsidRDefault="002975CD" w:rsidP="002975CD">
      <w:pPr>
        <w:rPr>
          <w:sz w:val="20"/>
        </w:rPr>
      </w:pPr>
    </w:p>
    <w:p w:rsidR="00483D58" w:rsidRPr="00C62F63" w:rsidRDefault="0046703F" w:rsidP="00EE5474">
      <w:pPr>
        <w:pStyle w:val="BodyText"/>
        <w:spacing w:before="6"/>
        <w:rPr>
          <w:sz w:val="20"/>
          <w:szCs w:val="20"/>
        </w:rPr>
      </w:pPr>
      <w:r>
        <w:rPr>
          <w:noProof/>
        </w:rPr>
        <w:pict w14:anchorId="3E0CF79D">
          <v:line id="Straight Connector 7" o:spid="_x0000_s1027" style="position:absolute;z-index:3;visibility:visible;mso-wrap-style:square;mso-width-percent:0;mso-height-percent:0;mso-wrap-distance-left:0;mso-wrap-distance-top:-22e-5mm;mso-wrap-distance-right:0;mso-wrap-distance-bottom:-22e-5mm;mso-position-horizontal:absolute;mso-position-horizontal-relative:page;mso-position-vertical:absolute;mso-position-vertical-relative:text;mso-width-percent:0;mso-height-percent:0;mso-width-relative:page;mso-height-relative:page" from="55.2pt,10.45pt" to="540.2pt,10.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" strokeweight="1.44pt">
            <v:path arrowok="f"/>
            <o:lock v:ext="edit" aspectratio="t" verticies="t"/>
            <w10:wrap type="topAndBottom" anchorx="page"/>
          </v:line>
        </w:pict>
      </w:r>
    </w:p>
    <w:p w:rsidR="00483D58" w:rsidRPr="002C535D" w:rsidRDefault="0056535C" w:rsidP="00EE5474">
      <w:pPr>
        <w:pStyle w:val="Heading2"/>
        <w:rPr>
          <w:sz w:val="36"/>
          <w:lang w:val="en-US"/>
        </w:rPr>
      </w:pPr>
      <w:r>
        <w:rPr>
          <w:sz w:val="36"/>
          <w:lang w:val="en-US"/>
        </w:rPr>
        <w:t xml:space="preserve">3 </w:t>
      </w:r>
      <w:r>
        <w:rPr>
          <w:sz w:val="36"/>
          <w:lang w:val="en-US"/>
        </w:rPr>
        <w:tab/>
        <w:t>Definitions, Symbols and A</w:t>
      </w:r>
      <w:r w:rsidR="00483D58" w:rsidRPr="002C535D">
        <w:rPr>
          <w:sz w:val="36"/>
          <w:lang w:val="en-US"/>
        </w:rPr>
        <w:t>bbreviations</w:t>
      </w:r>
    </w:p>
    <w:p w:rsidR="00483D58" w:rsidRPr="002C535D" w:rsidRDefault="00483D58" w:rsidP="00EE5474">
      <w:pPr>
        <w:pStyle w:val="Heading2"/>
      </w:pPr>
      <w:r w:rsidRPr="002C535D">
        <w:rPr>
          <w:lang w:val="en-US"/>
        </w:rPr>
        <w:t>3.1</w:t>
      </w:r>
      <w:r w:rsidRPr="002C535D">
        <w:rPr>
          <w:lang w:val="en-US"/>
        </w:rPr>
        <w:tab/>
      </w:r>
      <w:r w:rsidRPr="002C535D">
        <w:t>Abbreviations</w:t>
      </w:r>
    </w:p>
    <w:p w:rsidR="00483D58" w:rsidRPr="002C535D" w:rsidRDefault="00483D58" w:rsidP="00EE5474">
      <w:pPr>
        <w:pStyle w:val="BodyText"/>
        <w:spacing w:before="180"/>
        <w:ind w:right="1295"/>
        <w:rPr>
          <w:sz w:val="20"/>
          <w:szCs w:val="20"/>
        </w:rPr>
      </w:pPr>
      <w:r w:rsidRPr="002C535D">
        <w:rPr>
          <w:sz w:val="20"/>
          <w:szCs w:val="20"/>
        </w:rPr>
        <w:t>For the purposes of the present document, the abbreviations give</w:t>
      </w:r>
      <w:r w:rsidR="00FA292B">
        <w:rPr>
          <w:sz w:val="20"/>
          <w:szCs w:val="20"/>
        </w:rPr>
        <w:t xml:space="preserve">n in 3GPP TR 21.905 [1] and the </w:t>
      </w:r>
      <w:r w:rsidRPr="002C535D">
        <w:rPr>
          <w:sz w:val="20"/>
          <w:szCs w:val="20"/>
        </w:rPr>
        <w:t>following apply. An abbreviation defined in the present document takes precedence over the definition of the same abbreviation, if any, in 3GPP TR 21.905</w:t>
      </w:r>
      <w:r w:rsidRPr="002C535D">
        <w:rPr>
          <w:spacing w:val="-3"/>
          <w:sz w:val="20"/>
          <w:szCs w:val="20"/>
        </w:rPr>
        <w:t xml:space="preserve"> </w:t>
      </w:r>
      <w:r w:rsidR="004D3A3B">
        <w:rPr>
          <w:sz w:val="20"/>
          <w:szCs w:val="20"/>
        </w:rPr>
        <w:t>[2</w:t>
      </w:r>
      <w:r w:rsidRPr="002C535D">
        <w:rPr>
          <w:sz w:val="20"/>
          <w:szCs w:val="20"/>
        </w:rPr>
        <w:t>].</w:t>
      </w:r>
    </w:p>
    <w:p w:rsidR="00483D58" w:rsidRPr="002C535D" w:rsidRDefault="00483D58" w:rsidP="00EE5474">
      <w:pPr>
        <w:widowControl w:val="0"/>
        <w:tabs>
          <w:tab w:val="left" w:pos="2214"/>
        </w:tabs>
        <w:autoSpaceDE w:val="0"/>
        <w:autoSpaceDN w:val="0"/>
        <w:ind w:left="796"/>
        <w:rPr>
          <w:sz w:val="20"/>
          <w:szCs w:val="20"/>
          <w:lang w:bidi="en-US"/>
        </w:rPr>
      </w:pPr>
    </w:p>
    <w:p w:rsidR="00483D58" w:rsidRPr="002C535D" w:rsidRDefault="007E5274" w:rsidP="00EE5474">
      <w:pPr>
        <w:widowControl w:val="0"/>
        <w:tabs>
          <w:tab w:val="left" w:pos="2214"/>
        </w:tabs>
        <w:autoSpaceDE w:val="0"/>
        <w:autoSpaceDN w:val="0"/>
        <w:ind w:left="796"/>
        <w:rPr>
          <w:sz w:val="20"/>
          <w:szCs w:val="20"/>
          <w:lang w:bidi="en-US"/>
        </w:rPr>
      </w:pPr>
      <w:r w:rsidRPr="002C535D">
        <w:rPr>
          <w:sz w:val="20"/>
          <w:szCs w:val="20"/>
          <w:lang w:bidi="en-US"/>
        </w:rPr>
        <w:t>ATC</w:t>
      </w:r>
      <w:r w:rsidRPr="002C535D">
        <w:rPr>
          <w:sz w:val="20"/>
          <w:szCs w:val="20"/>
          <w:lang w:bidi="en-US"/>
        </w:rPr>
        <w:tab/>
      </w:r>
      <w:r w:rsidR="00483D58" w:rsidRPr="002C535D">
        <w:rPr>
          <w:sz w:val="20"/>
          <w:szCs w:val="20"/>
          <w:lang w:bidi="en-US"/>
        </w:rPr>
        <w:t>Ancillary Terrestrial Component</w:t>
      </w:r>
    </w:p>
    <w:p w:rsidR="00C77E17" w:rsidRPr="002C535D" w:rsidRDefault="007E5274" w:rsidP="00C77E17">
      <w:pPr>
        <w:widowControl w:val="0"/>
        <w:tabs>
          <w:tab w:val="left" w:pos="2214"/>
        </w:tabs>
        <w:autoSpaceDE w:val="0"/>
        <w:autoSpaceDN w:val="0"/>
        <w:ind w:left="796"/>
        <w:rPr>
          <w:sz w:val="20"/>
          <w:szCs w:val="20"/>
          <w:lang w:bidi="en-US"/>
        </w:rPr>
      </w:pPr>
      <w:r w:rsidRPr="002C535D">
        <w:rPr>
          <w:sz w:val="20"/>
          <w:szCs w:val="20"/>
          <w:lang w:bidi="en-US"/>
        </w:rPr>
        <w:t>BAS</w:t>
      </w:r>
      <w:r w:rsidRPr="002C535D">
        <w:rPr>
          <w:sz w:val="20"/>
          <w:szCs w:val="20"/>
          <w:lang w:bidi="en-US"/>
        </w:rPr>
        <w:tab/>
      </w:r>
      <w:r w:rsidR="00483D58" w:rsidRPr="002C535D">
        <w:rPr>
          <w:sz w:val="20"/>
          <w:szCs w:val="20"/>
          <w:lang w:bidi="en-US"/>
        </w:rPr>
        <w:t>Broadcast Auxiliary Service</w:t>
      </w:r>
    </w:p>
    <w:p w:rsidR="00483D58" w:rsidRPr="002C535D" w:rsidRDefault="00483D58" w:rsidP="00EE5474">
      <w:pPr>
        <w:widowControl w:val="0"/>
        <w:tabs>
          <w:tab w:val="left" w:pos="2214"/>
        </w:tabs>
        <w:autoSpaceDE w:val="0"/>
        <w:autoSpaceDN w:val="0"/>
        <w:ind w:left="796"/>
        <w:rPr>
          <w:sz w:val="20"/>
          <w:szCs w:val="20"/>
          <w:lang w:bidi="en-US"/>
        </w:rPr>
      </w:pPr>
      <w:r w:rsidRPr="002C535D">
        <w:rPr>
          <w:sz w:val="20"/>
          <w:szCs w:val="20"/>
          <w:lang w:bidi="en-US"/>
        </w:rPr>
        <w:t>BRS</w:t>
      </w:r>
      <w:r w:rsidRPr="002C535D">
        <w:rPr>
          <w:sz w:val="20"/>
          <w:szCs w:val="20"/>
          <w:lang w:bidi="en-US"/>
        </w:rPr>
        <w:tab/>
        <w:t>Broadband Radio Service</w:t>
      </w:r>
    </w:p>
    <w:p w:rsidR="00483D58" w:rsidRPr="002C535D" w:rsidRDefault="007E5274" w:rsidP="00EE5474">
      <w:pPr>
        <w:widowControl w:val="0"/>
        <w:tabs>
          <w:tab w:val="left" w:pos="2214"/>
        </w:tabs>
        <w:autoSpaceDE w:val="0"/>
        <w:autoSpaceDN w:val="0"/>
        <w:ind w:left="796"/>
        <w:rPr>
          <w:sz w:val="20"/>
          <w:szCs w:val="20"/>
          <w:lang w:bidi="en-US"/>
        </w:rPr>
      </w:pPr>
      <w:r w:rsidRPr="002C535D">
        <w:rPr>
          <w:sz w:val="20"/>
          <w:szCs w:val="20"/>
          <w:lang w:bidi="en-US"/>
        </w:rPr>
        <w:t>BS</w:t>
      </w:r>
      <w:r w:rsidRPr="002C535D">
        <w:rPr>
          <w:sz w:val="20"/>
          <w:szCs w:val="20"/>
          <w:lang w:bidi="en-US"/>
        </w:rPr>
        <w:tab/>
      </w:r>
      <w:r w:rsidR="00483D58" w:rsidRPr="002C535D">
        <w:rPr>
          <w:sz w:val="20"/>
          <w:szCs w:val="20"/>
          <w:lang w:bidi="en-US"/>
        </w:rPr>
        <w:t>Base</w:t>
      </w:r>
      <w:r w:rsidR="00483D58" w:rsidRPr="002C535D">
        <w:rPr>
          <w:spacing w:val="-1"/>
          <w:sz w:val="20"/>
          <w:szCs w:val="20"/>
          <w:lang w:bidi="en-US"/>
        </w:rPr>
        <w:t xml:space="preserve"> </w:t>
      </w:r>
      <w:r w:rsidR="00483D58" w:rsidRPr="002C535D">
        <w:rPr>
          <w:sz w:val="20"/>
          <w:szCs w:val="20"/>
          <w:lang w:bidi="en-US"/>
        </w:rPr>
        <w:t>Station</w:t>
      </w:r>
    </w:p>
    <w:p w:rsidR="00483D58" w:rsidRPr="002C535D" w:rsidRDefault="00483D58" w:rsidP="00EE5474">
      <w:pPr>
        <w:widowControl w:val="0"/>
        <w:tabs>
          <w:tab w:val="left" w:pos="2214"/>
        </w:tabs>
        <w:autoSpaceDE w:val="0"/>
        <w:autoSpaceDN w:val="0"/>
        <w:ind w:left="796"/>
        <w:rPr>
          <w:sz w:val="20"/>
          <w:szCs w:val="20"/>
          <w:lang w:bidi="en-US"/>
        </w:rPr>
      </w:pPr>
      <w:r w:rsidRPr="002C535D">
        <w:rPr>
          <w:sz w:val="20"/>
          <w:szCs w:val="20"/>
          <w:lang w:bidi="en-US"/>
        </w:rPr>
        <w:t>DL</w:t>
      </w:r>
      <w:r w:rsidRPr="002C535D">
        <w:rPr>
          <w:sz w:val="20"/>
          <w:szCs w:val="20"/>
          <w:lang w:bidi="en-US"/>
        </w:rPr>
        <w:tab/>
        <w:t>Downlink</w:t>
      </w:r>
    </w:p>
    <w:p w:rsidR="00483D58" w:rsidRPr="002C535D" w:rsidRDefault="00483D58" w:rsidP="00EE5474">
      <w:pPr>
        <w:widowControl w:val="0"/>
        <w:tabs>
          <w:tab w:val="left" w:pos="2214"/>
        </w:tabs>
        <w:autoSpaceDE w:val="0"/>
        <w:autoSpaceDN w:val="0"/>
        <w:spacing w:before="1"/>
        <w:ind w:left="1440" w:right="4722" w:hanging="644"/>
        <w:rPr>
          <w:sz w:val="20"/>
          <w:szCs w:val="20"/>
          <w:lang w:bidi="en-US"/>
        </w:rPr>
      </w:pPr>
      <w:r w:rsidRPr="002C535D">
        <w:rPr>
          <w:sz w:val="20"/>
          <w:szCs w:val="20"/>
          <w:lang w:bidi="en-US"/>
        </w:rPr>
        <w:t>CFR</w:t>
      </w:r>
      <w:r w:rsidRPr="002C535D">
        <w:rPr>
          <w:sz w:val="20"/>
          <w:szCs w:val="20"/>
          <w:lang w:bidi="en-US"/>
        </w:rPr>
        <w:tab/>
      </w:r>
      <w:r w:rsidRPr="002C535D">
        <w:rPr>
          <w:sz w:val="20"/>
          <w:szCs w:val="20"/>
          <w:lang w:bidi="en-US"/>
        </w:rPr>
        <w:tab/>
        <w:t>Code of Federal</w:t>
      </w:r>
      <w:r w:rsidRPr="002C535D">
        <w:rPr>
          <w:spacing w:val="-4"/>
          <w:sz w:val="20"/>
          <w:szCs w:val="20"/>
          <w:lang w:bidi="en-US"/>
        </w:rPr>
        <w:t xml:space="preserve"> </w:t>
      </w:r>
      <w:r w:rsidRPr="002C535D">
        <w:rPr>
          <w:sz w:val="20"/>
          <w:szCs w:val="20"/>
          <w:lang w:bidi="en-US"/>
        </w:rPr>
        <w:t>Regulation</w:t>
      </w:r>
    </w:p>
    <w:p w:rsidR="00483D58" w:rsidRDefault="007E5274" w:rsidP="00EE5474">
      <w:pPr>
        <w:widowControl w:val="0"/>
        <w:tabs>
          <w:tab w:val="left" w:pos="2214"/>
        </w:tabs>
        <w:autoSpaceDE w:val="0"/>
        <w:autoSpaceDN w:val="0"/>
        <w:spacing w:before="1"/>
        <w:ind w:left="796" w:right="4722"/>
        <w:rPr>
          <w:sz w:val="20"/>
          <w:szCs w:val="20"/>
          <w:lang w:bidi="en-US"/>
        </w:rPr>
      </w:pPr>
      <w:r w:rsidRPr="002C535D">
        <w:rPr>
          <w:sz w:val="20"/>
          <w:szCs w:val="20"/>
          <w:lang w:bidi="en-US"/>
        </w:rPr>
        <w:t>EBS</w:t>
      </w:r>
      <w:r w:rsidRPr="002C535D">
        <w:rPr>
          <w:sz w:val="20"/>
          <w:szCs w:val="20"/>
          <w:lang w:bidi="en-US"/>
        </w:rPr>
        <w:tab/>
      </w:r>
      <w:r w:rsidR="00483D58" w:rsidRPr="002C535D">
        <w:rPr>
          <w:sz w:val="20"/>
          <w:szCs w:val="20"/>
          <w:lang w:bidi="en-US"/>
        </w:rPr>
        <w:t>Educational Broadband Service</w:t>
      </w:r>
    </w:p>
    <w:p w:rsidR="00483D58" w:rsidRPr="002C535D" w:rsidRDefault="00483D58" w:rsidP="00EE5474">
      <w:pPr>
        <w:widowControl w:val="0"/>
        <w:tabs>
          <w:tab w:val="left" w:pos="2214"/>
        </w:tabs>
        <w:autoSpaceDE w:val="0"/>
        <w:autoSpaceDN w:val="0"/>
        <w:ind w:left="796"/>
        <w:rPr>
          <w:sz w:val="20"/>
          <w:szCs w:val="20"/>
          <w:lang w:bidi="en-US"/>
        </w:rPr>
      </w:pPr>
      <w:r w:rsidRPr="002C535D">
        <w:rPr>
          <w:sz w:val="20"/>
          <w:szCs w:val="20"/>
          <w:lang w:bidi="en-US"/>
        </w:rPr>
        <w:t>EIRP</w:t>
      </w:r>
      <w:r w:rsidRPr="002C535D">
        <w:rPr>
          <w:sz w:val="20"/>
          <w:szCs w:val="20"/>
          <w:lang w:bidi="en-US"/>
        </w:rPr>
        <w:tab/>
        <w:t>Effective Isotropic Radiated Power</w:t>
      </w:r>
    </w:p>
    <w:p w:rsidR="00483D58" w:rsidRPr="002C535D" w:rsidRDefault="00483D58" w:rsidP="00EE5474">
      <w:pPr>
        <w:widowControl w:val="0"/>
        <w:tabs>
          <w:tab w:val="left" w:pos="2214"/>
        </w:tabs>
        <w:autoSpaceDE w:val="0"/>
        <w:autoSpaceDN w:val="0"/>
        <w:ind w:left="796" w:right="5037"/>
        <w:rPr>
          <w:sz w:val="20"/>
          <w:szCs w:val="20"/>
          <w:lang w:bidi="en-US"/>
        </w:rPr>
      </w:pPr>
      <w:r w:rsidRPr="002C535D">
        <w:rPr>
          <w:sz w:val="20"/>
          <w:szCs w:val="20"/>
          <w:lang w:bidi="en-US"/>
        </w:rPr>
        <w:t>E-UTRA</w:t>
      </w:r>
      <w:r w:rsidRPr="002C535D">
        <w:rPr>
          <w:sz w:val="20"/>
          <w:szCs w:val="20"/>
          <w:lang w:bidi="en-US"/>
        </w:rPr>
        <w:tab/>
        <w:t>Evolved UTRA</w:t>
      </w:r>
    </w:p>
    <w:p w:rsidR="00483D58" w:rsidRPr="002C535D" w:rsidRDefault="00483D58" w:rsidP="00EE5474">
      <w:pPr>
        <w:widowControl w:val="0"/>
        <w:tabs>
          <w:tab w:val="left" w:pos="2214"/>
        </w:tabs>
        <w:autoSpaceDE w:val="0"/>
        <w:autoSpaceDN w:val="0"/>
        <w:ind w:left="796"/>
        <w:rPr>
          <w:sz w:val="20"/>
          <w:szCs w:val="20"/>
          <w:lang w:bidi="en-US"/>
        </w:rPr>
      </w:pPr>
      <w:r w:rsidRPr="002C535D">
        <w:rPr>
          <w:sz w:val="20"/>
          <w:szCs w:val="20"/>
          <w:lang w:bidi="en-US"/>
        </w:rPr>
        <w:t>FCC</w:t>
      </w:r>
      <w:r w:rsidRPr="002C535D">
        <w:rPr>
          <w:sz w:val="20"/>
          <w:szCs w:val="20"/>
          <w:lang w:bidi="en-US"/>
        </w:rPr>
        <w:tab/>
        <w:t>Federal Communications Commission</w:t>
      </w:r>
    </w:p>
    <w:p w:rsidR="00483D58" w:rsidRDefault="00483D58" w:rsidP="00EE5474">
      <w:pPr>
        <w:widowControl w:val="0"/>
        <w:tabs>
          <w:tab w:val="left" w:pos="2214"/>
        </w:tabs>
        <w:autoSpaceDE w:val="0"/>
        <w:autoSpaceDN w:val="0"/>
        <w:spacing w:before="1"/>
        <w:ind w:left="796"/>
        <w:rPr>
          <w:sz w:val="20"/>
          <w:szCs w:val="20"/>
          <w:lang w:bidi="en-US"/>
        </w:rPr>
      </w:pPr>
      <w:r w:rsidRPr="002C535D">
        <w:rPr>
          <w:sz w:val="20"/>
          <w:szCs w:val="20"/>
          <w:lang w:bidi="en-US"/>
        </w:rPr>
        <w:t>FDD</w:t>
      </w:r>
      <w:r w:rsidRPr="002C535D">
        <w:rPr>
          <w:sz w:val="20"/>
          <w:szCs w:val="20"/>
          <w:lang w:bidi="en-US"/>
        </w:rPr>
        <w:tab/>
        <w:t>Frequency Division</w:t>
      </w:r>
      <w:r w:rsidRPr="002C535D">
        <w:rPr>
          <w:spacing w:val="-3"/>
          <w:sz w:val="20"/>
          <w:szCs w:val="20"/>
          <w:lang w:bidi="en-US"/>
        </w:rPr>
        <w:t xml:space="preserve"> </w:t>
      </w:r>
      <w:r w:rsidRPr="002C535D">
        <w:rPr>
          <w:sz w:val="20"/>
          <w:szCs w:val="20"/>
          <w:lang w:bidi="en-US"/>
        </w:rPr>
        <w:t>Duplex</w:t>
      </w:r>
    </w:p>
    <w:p w:rsidR="000C2A41" w:rsidRPr="002C535D" w:rsidRDefault="000C2A41" w:rsidP="00EE5474">
      <w:pPr>
        <w:widowControl w:val="0"/>
        <w:tabs>
          <w:tab w:val="left" w:pos="2214"/>
        </w:tabs>
        <w:autoSpaceDE w:val="0"/>
        <w:autoSpaceDN w:val="0"/>
        <w:spacing w:before="1"/>
        <w:ind w:left="796"/>
        <w:rPr>
          <w:sz w:val="20"/>
          <w:szCs w:val="20"/>
          <w:lang w:bidi="en-US"/>
        </w:rPr>
      </w:pPr>
      <w:r>
        <w:rPr>
          <w:sz w:val="20"/>
          <w:szCs w:val="20"/>
          <w:lang w:bidi="en-US"/>
        </w:rPr>
        <w:t>ISM</w:t>
      </w:r>
      <w:r>
        <w:rPr>
          <w:sz w:val="20"/>
          <w:szCs w:val="20"/>
          <w:lang w:bidi="en-US"/>
        </w:rPr>
        <w:tab/>
        <w:t>Industrial Scientific Medical</w:t>
      </w:r>
    </w:p>
    <w:p w:rsidR="00483D58" w:rsidRPr="002C535D" w:rsidRDefault="007E5274" w:rsidP="00EE5474">
      <w:pPr>
        <w:widowControl w:val="0"/>
        <w:tabs>
          <w:tab w:val="left" w:pos="2214"/>
        </w:tabs>
        <w:autoSpaceDE w:val="0"/>
        <w:autoSpaceDN w:val="0"/>
        <w:spacing w:before="1"/>
        <w:rPr>
          <w:sz w:val="20"/>
          <w:szCs w:val="20"/>
          <w:lang w:bidi="en-US"/>
        </w:rPr>
      </w:pPr>
      <w:r w:rsidRPr="002C535D">
        <w:rPr>
          <w:sz w:val="20"/>
          <w:szCs w:val="20"/>
          <w:lang w:bidi="en-US"/>
        </w:rPr>
        <w:t xml:space="preserve">                </w:t>
      </w:r>
      <w:r w:rsidR="00483D58" w:rsidRPr="002C535D">
        <w:rPr>
          <w:sz w:val="20"/>
          <w:szCs w:val="20"/>
          <w:lang w:bidi="en-US"/>
        </w:rPr>
        <w:t>LTE</w:t>
      </w:r>
      <w:r w:rsidR="00483D58" w:rsidRPr="002C535D">
        <w:rPr>
          <w:sz w:val="20"/>
          <w:szCs w:val="20"/>
          <w:lang w:bidi="en-US"/>
        </w:rPr>
        <w:tab/>
        <w:t>Long Term Evolution</w:t>
      </w:r>
    </w:p>
    <w:p w:rsidR="00483D58" w:rsidRPr="002C535D" w:rsidRDefault="00483D58" w:rsidP="00EE5474">
      <w:pPr>
        <w:widowControl w:val="0"/>
        <w:tabs>
          <w:tab w:val="left" w:pos="2214"/>
        </w:tabs>
        <w:autoSpaceDE w:val="0"/>
        <w:autoSpaceDN w:val="0"/>
        <w:spacing w:before="1"/>
        <w:ind w:left="796"/>
        <w:rPr>
          <w:sz w:val="20"/>
          <w:szCs w:val="20"/>
          <w:lang w:bidi="en-US"/>
        </w:rPr>
      </w:pPr>
      <w:r w:rsidRPr="002C535D">
        <w:rPr>
          <w:sz w:val="20"/>
          <w:szCs w:val="20"/>
          <w:lang w:bidi="en-US"/>
        </w:rPr>
        <w:t>MSS</w:t>
      </w:r>
      <w:r w:rsidRPr="002C535D">
        <w:rPr>
          <w:sz w:val="20"/>
          <w:szCs w:val="20"/>
          <w:lang w:bidi="en-US"/>
        </w:rPr>
        <w:tab/>
        <w:t>Mobile Satellite Service</w:t>
      </w:r>
    </w:p>
    <w:p w:rsidR="00483D58" w:rsidRDefault="007E5274" w:rsidP="00EE5474">
      <w:pPr>
        <w:widowControl w:val="0"/>
        <w:tabs>
          <w:tab w:val="left" w:pos="2214"/>
        </w:tabs>
        <w:autoSpaceDE w:val="0"/>
        <w:autoSpaceDN w:val="0"/>
        <w:spacing w:before="1"/>
        <w:ind w:left="796"/>
        <w:rPr>
          <w:sz w:val="20"/>
          <w:szCs w:val="20"/>
          <w:lang w:bidi="en-US"/>
        </w:rPr>
      </w:pPr>
      <w:r w:rsidRPr="002C535D">
        <w:rPr>
          <w:sz w:val="20"/>
          <w:szCs w:val="20"/>
          <w:lang w:bidi="en-US"/>
        </w:rPr>
        <w:t>NOS</w:t>
      </w:r>
      <w:r w:rsidRPr="002C535D">
        <w:rPr>
          <w:sz w:val="20"/>
          <w:szCs w:val="20"/>
          <w:lang w:bidi="en-US"/>
        </w:rPr>
        <w:tab/>
      </w:r>
      <w:r w:rsidR="00483D58" w:rsidRPr="002C535D">
        <w:rPr>
          <w:sz w:val="20"/>
          <w:szCs w:val="20"/>
          <w:lang w:bidi="en-US"/>
        </w:rPr>
        <w:t>Network Operating System</w:t>
      </w:r>
    </w:p>
    <w:p w:rsidR="008D7A17" w:rsidRPr="002C535D" w:rsidRDefault="008D7A17" w:rsidP="00EE5474">
      <w:pPr>
        <w:widowControl w:val="0"/>
        <w:tabs>
          <w:tab w:val="left" w:pos="2214"/>
        </w:tabs>
        <w:autoSpaceDE w:val="0"/>
        <w:autoSpaceDN w:val="0"/>
        <w:spacing w:before="1"/>
        <w:ind w:left="796"/>
        <w:rPr>
          <w:sz w:val="20"/>
          <w:szCs w:val="20"/>
          <w:lang w:bidi="en-US"/>
        </w:rPr>
      </w:pPr>
      <w:r>
        <w:rPr>
          <w:sz w:val="20"/>
          <w:szCs w:val="20"/>
          <w:lang w:bidi="en-US"/>
        </w:rPr>
        <w:t>NPRM</w:t>
      </w:r>
      <w:r>
        <w:rPr>
          <w:sz w:val="20"/>
          <w:szCs w:val="20"/>
          <w:lang w:bidi="en-US"/>
        </w:rPr>
        <w:tab/>
        <w:t>Notice of Proposed Rule Making</w:t>
      </w:r>
    </w:p>
    <w:p w:rsidR="00483D58" w:rsidRPr="002C535D" w:rsidRDefault="00483D58" w:rsidP="00EE5474">
      <w:pPr>
        <w:widowControl w:val="0"/>
        <w:tabs>
          <w:tab w:val="left" w:pos="2214"/>
        </w:tabs>
        <w:autoSpaceDE w:val="0"/>
        <w:autoSpaceDN w:val="0"/>
        <w:ind w:left="796"/>
        <w:rPr>
          <w:sz w:val="20"/>
          <w:szCs w:val="20"/>
          <w:lang w:bidi="en-US"/>
        </w:rPr>
      </w:pPr>
      <w:r w:rsidRPr="002C535D">
        <w:rPr>
          <w:sz w:val="20"/>
          <w:szCs w:val="20"/>
          <w:lang w:bidi="en-US"/>
        </w:rPr>
        <w:t>RF</w:t>
      </w:r>
      <w:r w:rsidRPr="002C535D">
        <w:rPr>
          <w:sz w:val="20"/>
          <w:szCs w:val="20"/>
          <w:lang w:bidi="en-US"/>
        </w:rPr>
        <w:tab/>
        <w:t>Radio Frequency</w:t>
      </w:r>
    </w:p>
    <w:p w:rsidR="00483D58" w:rsidRPr="002C535D" w:rsidRDefault="00483D58" w:rsidP="00EE5474">
      <w:pPr>
        <w:widowControl w:val="0"/>
        <w:tabs>
          <w:tab w:val="left" w:pos="2214"/>
        </w:tabs>
        <w:autoSpaceDE w:val="0"/>
        <w:autoSpaceDN w:val="0"/>
        <w:spacing w:before="1"/>
        <w:ind w:left="796"/>
        <w:rPr>
          <w:sz w:val="20"/>
          <w:szCs w:val="20"/>
          <w:lang w:bidi="en-US"/>
        </w:rPr>
      </w:pPr>
      <w:r w:rsidRPr="002C535D">
        <w:rPr>
          <w:sz w:val="20"/>
          <w:szCs w:val="20"/>
          <w:lang w:bidi="en-US"/>
        </w:rPr>
        <w:t>RX</w:t>
      </w:r>
      <w:r w:rsidRPr="002C535D">
        <w:rPr>
          <w:sz w:val="20"/>
          <w:szCs w:val="20"/>
          <w:lang w:bidi="en-US"/>
        </w:rPr>
        <w:tab/>
        <w:t>Receiver</w:t>
      </w:r>
    </w:p>
    <w:p w:rsidR="00483D58" w:rsidRDefault="007E5274" w:rsidP="00EE5474">
      <w:pPr>
        <w:widowControl w:val="0"/>
        <w:tabs>
          <w:tab w:val="left" w:pos="2214"/>
        </w:tabs>
        <w:autoSpaceDE w:val="0"/>
        <w:autoSpaceDN w:val="0"/>
        <w:spacing w:before="1"/>
        <w:ind w:left="796"/>
        <w:rPr>
          <w:sz w:val="20"/>
          <w:szCs w:val="20"/>
          <w:lang w:bidi="en-US"/>
        </w:rPr>
      </w:pPr>
      <w:r w:rsidRPr="002C535D">
        <w:rPr>
          <w:sz w:val="20"/>
          <w:szCs w:val="20"/>
          <w:lang w:bidi="en-US"/>
        </w:rPr>
        <w:t>TDD</w:t>
      </w:r>
      <w:r w:rsidRPr="002C535D">
        <w:rPr>
          <w:sz w:val="20"/>
          <w:szCs w:val="20"/>
          <w:lang w:bidi="en-US"/>
        </w:rPr>
        <w:tab/>
      </w:r>
      <w:r w:rsidR="00483D58" w:rsidRPr="002C535D">
        <w:rPr>
          <w:sz w:val="20"/>
          <w:szCs w:val="20"/>
          <w:lang w:bidi="en-US"/>
        </w:rPr>
        <w:t>Time Division Duplex</w:t>
      </w:r>
    </w:p>
    <w:p w:rsidR="00085E50" w:rsidRPr="002C535D" w:rsidRDefault="00085E50" w:rsidP="00EE5474">
      <w:pPr>
        <w:widowControl w:val="0"/>
        <w:tabs>
          <w:tab w:val="left" w:pos="2214"/>
        </w:tabs>
        <w:autoSpaceDE w:val="0"/>
        <w:autoSpaceDN w:val="0"/>
        <w:spacing w:before="1"/>
        <w:ind w:left="796"/>
        <w:rPr>
          <w:sz w:val="20"/>
          <w:szCs w:val="20"/>
          <w:lang w:bidi="en-US"/>
        </w:rPr>
      </w:pPr>
      <w:r>
        <w:rPr>
          <w:sz w:val="20"/>
          <w:szCs w:val="20"/>
          <w:lang w:bidi="en-US"/>
        </w:rPr>
        <w:t>TLPS</w:t>
      </w:r>
      <w:r>
        <w:rPr>
          <w:sz w:val="20"/>
          <w:szCs w:val="20"/>
          <w:lang w:bidi="en-US"/>
        </w:rPr>
        <w:tab/>
        <w:t>Terrestrial Low Power Service</w:t>
      </w:r>
    </w:p>
    <w:p w:rsidR="00483D58" w:rsidRPr="002C535D" w:rsidRDefault="00483D58" w:rsidP="00EE5474">
      <w:pPr>
        <w:widowControl w:val="0"/>
        <w:tabs>
          <w:tab w:val="left" w:pos="2214"/>
        </w:tabs>
        <w:autoSpaceDE w:val="0"/>
        <w:autoSpaceDN w:val="0"/>
        <w:spacing w:before="1"/>
        <w:ind w:left="796"/>
        <w:rPr>
          <w:sz w:val="20"/>
          <w:szCs w:val="20"/>
          <w:lang w:bidi="en-US"/>
        </w:rPr>
      </w:pPr>
      <w:r w:rsidRPr="002C535D">
        <w:rPr>
          <w:sz w:val="20"/>
          <w:szCs w:val="20"/>
          <w:lang w:bidi="en-US"/>
        </w:rPr>
        <w:t>TX</w:t>
      </w:r>
      <w:r w:rsidRPr="002C535D">
        <w:rPr>
          <w:sz w:val="20"/>
          <w:szCs w:val="20"/>
          <w:lang w:bidi="en-US"/>
        </w:rPr>
        <w:tab/>
        <w:t>Transmitter</w:t>
      </w:r>
    </w:p>
    <w:p w:rsidR="00483D58" w:rsidRPr="002C535D" w:rsidRDefault="00483D58" w:rsidP="00EE5474">
      <w:pPr>
        <w:widowControl w:val="0"/>
        <w:tabs>
          <w:tab w:val="left" w:pos="2214"/>
        </w:tabs>
        <w:autoSpaceDE w:val="0"/>
        <w:autoSpaceDN w:val="0"/>
        <w:ind w:left="796"/>
        <w:rPr>
          <w:sz w:val="20"/>
          <w:szCs w:val="20"/>
          <w:lang w:bidi="en-US"/>
        </w:rPr>
      </w:pPr>
      <w:r w:rsidRPr="002C535D">
        <w:rPr>
          <w:sz w:val="20"/>
          <w:szCs w:val="20"/>
          <w:lang w:bidi="en-US"/>
        </w:rPr>
        <w:t>UE</w:t>
      </w:r>
      <w:r w:rsidRPr="002C535D">
        <w:rPr>
          <w:sz w:val="20"/>
          <w:szCs w:val="20"/>
          <w:lang w:bidi="en-US"/>
        </w:rPr>
        <w:tab/>
        <w:t>User</w:t>
      </w:r>
      <w:r w:rsidRPr="002C535D">
        <w:rPr>
          <w:spacing w:val="-1"/>
          <w:sz w:val="20"/>
          <w:szCs w:val="20"/>
          <w:lang w:bidi="en-US"/>
        </w:rPr>
        <w:t xml:space="preserve"> </w:t>
      </w:r>
      <w:r w:rsidRPr="002C535D">
        <w:rPr>
          <w:sz w:val="20"/>
          <w:szCs w:val="20"/>
          <w:lang w:bidi="en-US"/>
        </w:rPr>
        <w:t>Equipment</w:t>
      </w:r>
    </w:p>
    <w:p w:rsidR="00483D58" w:rsidRPr="002C535D" w:rsidRDefault="007E5274" w:rsidP="00EE5474">
      <w:pPr>
        <w:widowControl w:val="0"/>
        <w:tabs>
          <w:tab w:val="left" w:pos="2214"/>
        </w:tabs>
        <w:autoSpaceDE w:val="0"/>
        <w:autoSpaceDN w:val="0"/>
        <w:ind w:left="796"/>
        <w:rPr>
          <w:sz w:val="20"/>
          <w:szCs w:val="20"/>
          <w:lang w:bidi="en-US"/>
        </w:rPr>
      </w:pPr>
      <w:r w:rsidRPr="002C535D">
        <w:rPr>
          <w:sz w:val="20"/>
          <w:szCs w:val="20"/>
          <w:lang w:bidi="en-US"/>
        </w:rPr>
        <w:t>US</w:t>
      </w:r>
      <w:r w:rsidRPr="002C535D">
        <w:rPr>
          <w:sz w:val="20"/>
          <w:szCs w:val="20"/>
          <w:lang w:bidi="en-US"/>
        </w:rPr>
        <w:tab/>
      </w:r>
      <w:r w:rsidR="00483D58" w:rsidRPr="002C535D">
        <w:rPr>
          <w:sz w:val="20"/>
          <w:szCs w:val="20"/>
          <w:lang w:bidi="en-US"/>
        </w:rPr>
        <w:t>United States</w:t>
      </w:r>
    </w:p>
    <w:p w:rsidR="00C62F63" w:rsidRDefault="00C62F63" w:rsidP="00EE5474">
      <w:pPr>
        <w:pStyle w:val="BodyText"/>
        <w:spacing w:before="6"/>
        <w:rPr>
          <w:sz w:val="20"/>
          <w:szCs w:val="20"/>
        </w:rPr>
      </w:pPr>
    </w:p>
    <w:p w:rsidR="00301569" w:rsidRDefault="00301569" w:rsidP="00EE5474">
      <w:pPr>
        <w:pStyle w:val="BodyText"/>
        <w:spacing w:before="6"/>
        <w:rPr>
          <w:sz w:val="20"/>
          <w:szCs w:val="20"/>
        </w:rPr>
      </w:pPr>
    </w:p>
    <w:p w:rsidR="00726CDE" w:rsidRDefault="00726CDE" w:rsidP="00EE5474">
      <w:pPr>
        <w:pStyle w:val="BodyText"/>
        <w:spacing w:before="6"/>
        <w:rPr>
          <w:sz w:val="20"/>
          <w:szCs w:val="20"/>
        </w:rPr>
      </w:pPr>
    </w:p>
    <w:p w:rsidR="005F5CBF" w:rsidRPr="00C62F63" w:rsidRDefault="005F5CBF" w:rsidP="00EE5474">
      <w:pPr>
        <w:pStyle w:val="BodyText"/>
        <w:spacing w:before="6"/>
        <w:rPr>
          <w:sz w:val="20"/>
          <w:szCs w:val="20"/>
        </w:rPr>
      </w:pPr>
    </w:p>
    <w:p w:rsidR="00483D58" w:rsidRPr="00C62F63" w:rsidRDefault="0046703F" w:rsidP="00EE5474">
      <w:pPr>
        <w:pStyle w:val="BodyText"/>
        <w:spacing w:before="6"/>
        <w:rPr>
          <w:sz w:val="20"/>
          <w:szCs w:val="20"/>
        </w:rPr>
      </w:pPr>
      <w:r>
        <w:rPr>
          <w:noProof/>
        </w:rPr>
        <w:lastRenderedPageBreak/>
        <w:pict w14:anchorId="0D3521EF">
          <v:line id="Straight Connector 10" o:spid="_x0000_s1026" style="position:absolute;z-index:4;visibility:visible;mso-wrap-style:square;mso-width-percent:0;mso-height-percent:0;mso-wrap-distance-left:0;mso-wrap-distance-top:-22e-5mm;mso-wrap-distance-right:0;mso-wrap-distance-bottom:-22e-5mm;mso-position-horizontal:absolute;mso-position-horizontal-relative:page;mso-position-vertical:absolute;mso-position-vertical-relative:text;mso-width-percent:0;mso-height-percent:0;mso-width-relative:page;mso-height-relative:page" from="57.6pt,9.7pt" to="542.6pt,9.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" strokeweight="1.44pt">
            <v:path arrowok="f"/>
            <o:lock v:ext="edit" aspectratio="t" verticies="t"/>
            <w10:wrap type="topAndBottom" anchorx="page"/>
          </v:line>
        </w:pict>
      </w:r>
    </w:p>
    <w:p w:rsidR="00483D58" w:rsidRPr="002C535D" w:rsidRDefault="00483D58" w:rsidP="00EE5474">
      <w:pPr>
        <w:pStyle w:val="Heading2"/>
        <w:rPr>
          <w:sz w:val="36"/>
          <w:lang w:val="en-US"/>
        </w:rPr>
      </w:pPr>
      <w:r w:rsidRPr="002C535D">
        <w:rPr>
          <w:sz w:val="36"/>
          <w:lang w:val="en-US"/>
        </w:rPr>
        <w:t>4</w:t>
      </w:r>
      <w:r w:rsidRPr="002C535D">
        <w:rPr>
          <w:sz w:val="36"/>
          <w:lang w:val="en-US"/>
        </w:rPr>
        <w:tab/>
        <w:t>Background</w:t>
      </w:r>
    </w:p>
    <w:p w:rsidR="00863E91" w:rsidRDefault="00094A70" w:rsidP="00EE5474">
      <w:pPr>
        <w:rPr>
          <w:rFonts w:eastAsia="Calibri"/>
          <w:sz w:val="20"/>
          <w:szCs w:val="20"/>
        </w:rPr>
      </w:pPr>
      <w:r>
        <w:rPr>
          <w:rFonts w:eastAsia="Calibri"/>
          <w:sz w:val="20"/>
          <w:szCs w:val="20"/>
        </w:rPr>
        <w:t xml:space="preserve">A recent FCC Report and Order has created a </w:t>
      </w:r>
      <w:r w:rsidRPr="002C535D">
        <w:rPr>
          <w:rFonts w:eastAsia="Calibri"/>
          <w:sz w:val="20"/>
          <w:szCs w:val="20"/>
        </w:rPr>
        <w:t xml:space="preserve">band </w:t>
      </w:r>
      <w:r w:rsidR="0032275D">
        <w:rPr>
          <w:rFonts w:eastAsia="Calibri"/>
          <w:sz w:val="20"/>
          <w:szCs w:val="20"/>
        </w:rPr>
        <w:t xml:space="preserve">that </w:t>
      </w:r>
      <w:r w:rsidRPr="002C535D">
        <w:rPr>
          <w:rFonts w:eastAsia="Calibri"/>
          <w:sz w:val="20"/>
          <w:szCs w:val="20"/>
        </w:rPr>
        <w:t>is authorized for TDD operation and spans 11.5 MHz from 2483.5 MHz to 2495 MHz</w:t>
      </w:r>
      <w:r>
        <w:rPr>
          <w:rFonts w:eastAsia="Calibri"/>
          <w:sz w:val="20"/>
          <w:szCs w:val="20"/>
        </w:rPr>
        <w:t xml:space="preserve"> [3].  This band is the result of a multi-year regulatory effort, which focused </w:t>
      </w:r>
      <w:r w:rsidR="00467100">
        <w:rPr>
          <w:rFonts w:eastAsia="Calibri"/>
          <w:sz w:val="20"/>
          <w:szCs w:val="20"/>
        </w:rPr>
        <w:t>principally upon co-existence between Part 25 licensed operations above 2483.5 MHz and Part 15 unlicensed operations below 2483.5 MHz.</w:t>
      </w:r>
    </w:p>
    <w:p w:rsidR="00CF5601" w:rsidRDefault="00CF5601" w:rsidP="00EE5474">
      <w:pPr>
        <w:rPr>
          <w:rFonts w:eastAsia="Calibri"/>
          <w:sz w:val="20"/>
          <w:szCs w:val="20"/>
        </w:rPr>
      </w:pPr>
    </w:p>
    <w:p w:rsidR="00165366" w:rsidRPr="00CF5601" w:rsidRDefault="00CF5601" w:rsidP="00EE5474">
      <w:pPr>
        <w:rPr>
          <w:rFonts w:eastAsia="Calibri"/>
          <w:sz w:val="20"/>
          <w:szCs w:val="20"/>
        </w:rPr>
      </w:pPr>
      <w:r>
        <w:rPr>
          <w:rFonts w:eastAsia="Calibri"/>
          <w:sz w:val="20"/>
          <w:szCs w:val="20"/>
        </w:rPr>
        <w:t xml:space="preserve">This contribution presents the evolution of the terrestrial 2.4 GHz band plan, testing and analysis conducted during the FCC regulatory process, E-UTRA </w:t>
      </w:r>
      <w:r w:rsidR="002975CD">
        <w:rPr>
          <w:rFonts w:eastAsia="Calibri"/>
          <w:sz w:val="20"/>
          <w:szCs w:val="20"/>
        </w:rPr>
        <w:t xml:space="preserve">to unlicensed </w:t>
      </w:r>
      <w:r>
        <w:rPr>
          <w:rFonts w:eastAsia="Calibri"/>
          <w:sz w:val="20"/>
          <w:szCs w:val="20"/>
        </w:rPr>
        <w:t>co-existence simulations, and the justification behind FCC rules designed to protect Part 15 unlicensed operations below 2483.5 MHz.  A basic overview of co-existence regulations may be found in a companion TP to TR 36.791 (R4-18</w:t>
      </w:r>
      <w:r w:rsidR="005029AF">
        <w:rPr>
          <w:rFonts w:eastAsia="Calibri"/>
          <w:sz w:val="20"/>
          <w:szCs w:val="20"/>
        </w:rPr>
        <w:t>11133</w:t>
      </w:r>
      <w:r>
        <w:rPr>
          <w:rFonts w:eastAsia="Calibri"/>
          <w:sz w:val="20"/>
          <w:szCs w:val="20"/>
        </w:rPr>
        <w:t>)</w:t>
      </w:r>
      <w:r w:rsidR="00D06C46">
        <w:rPr>
          <w:rFonts w:eastAsia="Calibri"/>
          <w:sz w:val="20"/>
          <w:szCs w:val="20"/>
        </w:rPr>
        <w:t>.</w:t>
      </w: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301569" w:rsidRDefault="00301569" w:rsidP="00EE5474">
      <w:pPr>
        <w:tabs>
          <w:tab w:val="left" w:pos="1080"/>
        </w:tabs>
        <w:rPr>
          <w:rFonts w:ascii="Arial" w:hAnsi="Arial" w:cs="Arial"/>
          <w:sz w:val="36"/>
        </w:rPr>
      </w:pPr>
    </w:p>
    <w:p w:rsidR="00726CDE" w:rsidRDefault="00726CDE" w:rsidP="00EE5474">
      <w:pPr>
        <w:tabs>
          <w:tab w:val="left" w:pos="1080"/>
        </w:tabs>
        <w:rPr>
          <w:rFonts w:ascii="Arial" w:hAnsi="Arial" w:cs="Arial"/>
          <w:sz w:val="36"/>
        </w:rPr>
      </w:pPr>
    </w:p>
    <w:p w:rsidR="00726CDE" w:rsidRDefault="00726CDE" w:rsidP="00EE5474">
      <w:pPr>
        <w:tabs>
          <w:tab w:val="left" w:pos="1080"/>
        </w:tabs>
        <w:rPr>
          <w:rFonts w:ascii="Arial" w:hAnsi="Arial" w:cs="Arial"/>
          <w:sz w:val="36"/>
        </w:rPr>
      </w:pPr>
    </w:p>
    <w:p w:rsidR="002975CD" w:rsidRDefault="002975CD" w:rsidP="00EE5474">
      <w:pPr>
        <w:tabs>
          <w:tab w:val="left" w:pos="1080"/>
        </w:tabs>
        <w:rPr>
          <w:rFonts w:ascii="Arial" w:hAnsi="Arial" w:cs="Arial"/>
          <w:sz w:val="36"/>
        </w:rPr>
      </w:pPr>
    </w:p>
    <w:p w:rsidR="002975CD" w:rsidRDefault="002975CD" w:rsidP="00EE5474">
      <w:pPr>
        <w:tabs>
          <w:tab w:val="left" w:pos="1080"/>
        </w:tabs>
        <w:rPr>
          <w:rFonts w:ascii="Arial" w:hAnsi="Arial" w:cs="Arial"/>
          <w:sz w:val="36"/>
        </w:rPr>
      </w:pPr>
    </w:p>
    <w:p w:rsidR="002975CD" w:rsidRDefault="002975CD" w:rsidP="00EE5474">
      <w:pPr>
        <w:tabs>
          <w:tab w:val="left" w:pos="1080"/>
        </w:tabs>
        <w:rPr>
          <w:rFonts w:ascii="Arial" w:hAnsi="Arial" w:cs="Arial"/>
          <w:sz w:val="36"/>
        </w:rPr>
      </w:pPr>
    </w:p>
    <w:p w:rsidR="00A4194E" w:rsidRPr="00A4194E" w:rsidRDefault="00A4194E" w:rsidP="00EE5474">
      <w:pPr>
        <w:tabs>
          <w:tab w:val="left" w:pos="1080"/>
        </w:tabs>
        <w:rPr>
          <w:b/>
          <w:color w:val="FF0000"/>
          <w:lang w:eastAsia="x-none"/>
        </w:rPr>
      </w:pPr>
      <w:r>
        <w:rPr>
          <w:b/>
          <w:color w:val="FF0000"/>
          <w:lang w:eastAsia="x-none"/>
        </w:rPr>
        <w:lastRenderedPageBreak/>
        <w:t>&lt;&lt;&lt; Start of TP</w:t>
      </w:r>
      <w:r w:rsidRPr="007529F2">
        <w:rPr>
          <w:b/>
          <w:color w:val="FF0000"/>
          <w:lang w:eastAsia="x-none"/>
        </w:rPr>
        <w:t>&gt;&gt;&gt;</w:t>
      </w:r>
    </w:p>
    <w:p w:rsidR="00076171" w:rsidRDefault="00076171" w:rsidP="00EE5474">
      <w:pPr>
        <w:pStyle w:val="BodyText"/>
        <w:spacing w:before="6"/>
        <w:rPr>
          <w:rFonts w:ascii="Arial" w:hAnsi="Arial" w:cs="Arial"/>
          <w:sz w:val="36"/>
        </w:rPr>
      </w:pPr>
    </w:p>
    <w:p w:rsidR="003C716D" w:rsidRDefault="003C716D" w:rsidP="003C716D">
      <w:pPr>
        <w:pStyle w:val="BodyText"/>
        <w:spacing w:before="6"/>
        <w:rPr>
          <w:ins w:id="1" w:author="John Dooley" w:date="2018-08-10T14:38:00Z"/>
          <w:rFonts w:ascii="Arial" w:hAnsi="Arial" w:cs="Arial"/>
          <w:sz w:val="36"/>
        </w:rPr>
      </w:pPr>
      <w:ins w:id="2" w:author="John Dooley" w:date="2018-08-10T14:38:00Z">
        <w:r>
          <w:rPr>
            <w:rFonts w:ascii="Arial" w:hAnsi="Arial" w:cs="Arial"/>
            <w:sz w:val="36"/>
          </w:rPr>
          <w:t>6</w:t>
        </w:r>
        <w:r>
          <w:rPr>
            <w:rFonts w:ascii="Arial" w:hAnsi="Arial" w:cs="Arial"/>
            <w:sz w:val="36"/>
          </w:rPr>
          <w:tab/>
          <w:t>Special Co-Existence Considerations for Non-3GPP Unlicensed Operations in the 2.4 GHz ISM Band</w:t>
        </w:r>
      </w:ins>
    </w:p>
    <w:p w:rsidR="003C716D" w:rsidRPr="003A3EB2" w:rsidRDefault="003C716D" w:rsidP="003C716D">
      <w:pPr>
        <w:pStyle w:val="BodyText"/>
        <w:spacing w:before="6"/>
        <w:rPr>
          <w:ins w:id="3" w:author="John Dooley" w:date="2018-08-10T14:38:00Z"/>
          <w:rFonts w:ascii="Arial" w:hAnsi="Arial" w:cs="Arial"/>
          <w:sz w:val="28"/>
          <w:szCs w:val="28"/>
        </w:rPr>
      </w:pPr>
    </w:p>
    <w:p w:rsidR="003C716D" w:rsidRDefault="003C716D" w:rsidP="003C716D">
      <w:pPr>
        <w:pStyle w:val="Heading2"/>
        <w:rPr>
          <w:ins w:id="4" w:author="John Dooley" w:date="2018-08-10T14:38:00Z"/>
          <w:lang w:val="en-US"/>
        </w:rPr>
      </w:pPr>
      <w:ins w:id="5" w:author="John Dooley" w:date="2018-08-10T14:38:00Z">
        <w:r>
          <w:rPr>
            <w:lang w:val="en-US"/>
          </w:rPr>
          <w:t>6.1</w:t>
        </w:r>
        <w:r>
          <w:rPr>
            <w:lang w:val="en-US"/>
          </w:rPr>
          <w:tab/>
          <w:t>Introduction</w:t>
        </w:r>
      </w:ins>
    </w:p>
    <w:p w:rsidR="003C716D" w:rsidRDefault="003C716D" w:rsidP="003C716D">
      <w:pPr>
        <w:rPr>
          <w:ins w:id="6" w:author="John Dooley" w:date="2018-08-10T14:38:00Z"/>
          <w:rFonts w:eastAsia="Calibri"/>
          <w:sz w:val="20"/>
          <w:szCs w:val="20"/>
        </w:rPr>
      </w:pPr>
      <w:ins w:id="7" w:author="John Dooley" w:date="2018-08-10T14:38:00Z">
        <w:r>
          <w:rPr>
            <w:rFonts w:eastAsia="Calibri"/>
            <w:sz w:val="20"/>
            <w:szCs w:val="20"/>
          </w:rPr>
          <w:t>While Part 15 services in the 2.4 GHz band are not entitled to interference protection under FCC rules [4], unlicensed 2.4 GHz applications like 802.11 Wi-Fi and Bluetooth are of special significance.  This section outlines the regulatory history and technical basis for co-existence between the US E-UTRA 2.4 GHz TDD Band and non-3GPP unlicensed operation in the 2.4 GHz ISM Band.</w:t>
        </w:r>
      </w:ins>
    </w:p>
    <w:p w:rsidR="003C716D" w:rsidRPr="00023789" w:rsidRDefault="003C716D" w:rsidP="003C716D">
      <w:pPr>
        <w:rPr>
          <w:ins w:id="8" w:author="John Dooley" w:date="2018-08-10T14:38:00Z"/>
          <w:lang w:eastAsia="zh-CN"/>
        </w:rPr>
      </w:pPr>
    </w:p>
    <w:p w:rsidR="003C716D" w:rsidRPr="00D245F9" w:rsidRDefault="003C716D" w:rsidP="003C716D">
      <w:pPr>
        <w:pStyle w:val="Heading2"/>
        <w:rPr>
          <w:ins w:id="9" w:author="John Dooley" w:date="2018-08-10T14:38:00Z"/>
        </w:rPr>
      </w:pPr>
      <w:ins w:id="10" w:author="John Dooley" w:date="2018-08-10T14:38:00Z">
        <w:r>
          <w:rPr>
            <w:lang w:val="en-US"/>
          </w:rPr>
          <w:t>6.2</w:t>
        </w:r>
        <w:r w:rsidRPr="00D245F9">
          <w:rPr>
            <w:lang w:val="en-US"/>
          </w:rPr>
          <w:tab/>
        </w:r>
        <w:r>
          <w:t>2.4 GHz Terrestrial Band Plan Evolution</w:t>
        </w:r>
      </w:ins>
    </w:p>
    <w:p w:rsidR="003C716D" w:rsidRPr="00776A81" w:rsidRDefault="003C716D" w:rsidP="003C716D">
      <w:pPr>
        <w:pStyle w:val="Heading2"/>
        <w:rPr>
          <w:ins w:id="11" w:author="John Dooley" w:date="2018-08-10T14:38:00Z"/>
          <w:sz w:val="24"/>
        </w:rPr>
      </w:pPr>
      <w:ins w:id="12" w:author="John Dooley" w:date="2018-08-10T14:38:00Z">
        <w:r>
          <w:rPr>
            <w:sz w:val="24"/>
            <w:lang w:val="en-US"/>
          </w:rPr>
          <w:t>6.2</w:t>
        </w:r>
        <w:r w:rsidRPr="00776A81">
          <w:rPr>
            <w:sz w:val="24"/>
            <w:lang w:val="en-US"/>
          </w:rPr>
          <w:t>.1</w:t>
        </w:r>
        <w:r w:rsidRPr="00776A81">
          <w:rPr>
            <w:sz w:val="24"/>
            <w:lang w:val="en-US"/>
          </w:rPr>
          <w:tab/>
        </w:r>
        <w:r>
          <w:rPr>
            <w:sz w:val="24"/>
          </w:rPr>
          <w:t>Introduction</w:t>
        </w:r>
      </w:ins>
    </w:p>
    <w:p w:rsidR="003C716D" w:rsidRDefault="003C716D" w:rsidP="003C716D">
      <w:pPr>
        <w:pStyle w:val="Heading2"/>
        <w:ind w:left="0" w:firstLine="0"/>
        <w:rPr>
          <w:ins w:id="13" w:author="John Dooley" w:date="2018-08-10T14:38:00Z"/>
          <w:rFonts w:ascii="Times New Roman" w:eastAsia="Calibri" w:hAnsi="Times New Roman"/>
          <w:sz w:val="20"/>
          <w:szCs w:val="20"/>
        </w:rPr>
      </w:pPr>
      <w:ins w:id="14" w:author="John Dooley" w:date="2018-08-10T14:38:00Z">
        <w:r>
          <w:rPr>
            <w:rFonts w:ascii="Times New Roman" w:eastAsia="Calibri" w:hAnsi="Times New Roman"/>
            <w:sz w:val="20"/>
            <w:szCs w:val="20"/>
          </w:rPr>
          <w:t>The Globalstar satellite network operates in a downlink configuration from 2483.5 MHz to 2500 MHz.  Following the establishment of the ATC regulatory construct, 2483.5 MHz to 2495 MHz became available for terrestrial allocation.  The satellite downlink band from 2496 MHz to 2500 MHz was already allocated for terrestrial use as a portion of the high power BRS-1 service, which is now integrated into 3GPP Band 41.</w:t>
        </w:r>
      </w:ins>
    </w:p>
    <w:p w:rsidR="003C716D" w:rsidRPr="00B36A73" w:rsidRDefault="003C716D" w:rsidP="003C716D">
      <w:pPr>
        <w:rPr>
          <w:ins w:id="15" w:author="John Dooley" w:date="2018-08-10T14:38:00Z"/>
          <w:rFonts w:eastAsia="Calibri"/>
          <w:sz w:val="20"/>
          <w:szCs w:val="20"/>
          <w:lang w:val="en-GB" w:eastAsia="zh-CN"/>
        </w:rPr>
      </w:pPr>
      <w:ins w:id="16" w:author="John Dooley" w:date="2018-08-10T14:38:00Z">
        <w:r>
          <w:rPr>
            <w:rFonts w:eastAsia="Calibri"/>
            <w:sz w:val="20"/>
            <w:szCs w:val="20"/>
            <w:lang w:val="en-GB" w:eastAsia="zh-CN"/>
          </w:rPr>
          <w:t>Terrestrial band proposals evolved during the FCC regulatory process.  The original FCC Notice of Proposed Rule Making outlined a hybrid 22 MHz Part 15 unlicensed and Part 25 licensed band spanning 2473 MHz to 2495 MHz.  Prominent members of the unlicensed community rejected the FCC proposal and counter-proposed unrestricted Part 15 unlicensed access from 2400 MHz to 2495 MHz.  The FCC ultimately allocated a Part 25 licensed terrestrial band wholly within the original ATC frequency range from 2483.5 MHz to 2495 MHz.</w:t>
        </w:r>
      </w:ins>
    </w:p>
    <w:p w:rsidR="003C716D" w:rsidRPr="005E7E40" w:rsidRDefault="003C716D" w:rsidP="003C716D">
      <w:pPr>
        <w:rPr>
          <w:ins w:id="17" w:author="John Dooley" w:date="2018-08-10T14:38:00Z"/>
          <w:lang w:val="en-GB" w:eastAsia="zh-CN"/>
        </w:rPr>
      </w:pPr>
    </w:p>
    <w:p w:rsidR="003C716D" w:rsidRPr="00776A81" w:rsidRDefault="003C716D" w:rsidP="003C716D">
      <w:pPr>
        <w:pStyle w:val="Heading2"/>
        <w:rPr>
          <w:ins w:id="18" w:author="John Dooley" w:date="2018-08-10T14:38:00Z"/>
          <w:sz w:val="24"/>
        </w:rPr>
      </w:pPr>
      <w:ins w:id="19" w:author="John Dooley" w:date="2018-08-10T14:38:00Z">
        <w:r>
          <w:rPr>
            <w:sz w:val="24"/>
            <w:lang w:val="en-US"/>
          </w:rPr>
          <w:t>6.2.2</w:t>
        </w:r>
        <w:r w:rsidRPr="00776A81">
          <w:rPr>
            <w:sz w:val="24"/>
            <w:lang w:val="en-US"/>
          </w:rPr>
          <w:tab/>
        </w:r>
        <w:r>
          <w:rPr>
            <w:sz w:val="24"/>
          </w:rPr>
          <w:t>Original FCC 2.4 GHz Terrestrial Band Proposal</w:t>
        </w:r>
      </w:ins>
    </w:p>
    <w:p w:rsidR="003C716D" w:rsidRDefault="003C716D" w:rsidP="003C716D">
      <w:pPr>
        <w:rPr>
          <w:ins w:id="20" w:author="John Dooley" w:date="2018-08-10T14:38:00Z"/>
          <w:rFonts w:eastAsia="Calibri"/>
          <w:sz w:val="20"/>
          <w:szCs w:val="20"/>
        </w:rPr>
      </w:pPr>
      <w:ins w:id="21" w:author="John Dooley" w:date="2018-08-10T14:38:00Z">
        <w:r>
          <w:rPr>
            <w:rFonts w:eastAsia="Calibri"/>
            <w:sz w:val="20"/>
            <w:szCs w:val="20"/>
          </w:rPr>
          <w:t>The original 2.4 GHz terrestrial band plan proposal was made in FCC NPRM 13-147 [5].  Proposed rules created a 22 MHz allocation spanning 2473 MHz to 2495 MHz.  The primary purpose of this arrangement was to enable a commercial licensed service that could utilize 802.11 Channel 14 (2473 MHz to 2495 MHz), which is compatible with a large proportion of existing Wi-Fi infrastructure and devices.  An important secondary purpose was to make more efficient broadband use of spectrum between 2473 MHz and 2495 MHz, which is otherwise constrained by emissions rules in 47 CFR Part 15.209.</w:t>
        </w:r>
      </w:ins>
    </w:p>
    <w:p w:rsidR="003C716D" w:rsidRDefault="003C716D" w:rsidP="003C716D">
      <w:pPr>
        <w:rPr>
          <w:ins w:id="22" w:author="John Dooley" w:date="2018-08-10T14:38:00Z"/>
          <w:rFonts w:eastAsia="Calibri"/>
          <w:sz w:val="20"/>
          <w:szCs w:val="20"/>
        </w:rPr>
      </w:pPr>
    </w:p>
    <w:p w:rsidR="003C716D" w:rsidRDefault="003C716D" w:rsidP="003C716D">
      <w:pPr>
        <w:rPr>
          <w:ins w:id="23" w:author="John Dooley" w:date="2018-08-10T14:38:00Z"/>
          <w:rFonts w:eastAsia="Calibri"/>
          <w:sz w:val="20"/>
          <w:szCs w:val="20"/>
        </w:rPr>
      </w:pPr>
      <w:ins w:id="24" w:author="John Dooley" w:date="2018-08-10T14:38:00Z">
        <w:r>
          <w:rPr>
            <w:rFonts w:eastAsia="Calibri"/>
            <w:sz w:val="20"/>
            <w:szCs w:val="20"/>
          </w:rPr>
          <w:t>The band plan set forth in the original FCC NPRM is shown in Figure 6.2.1-1.  Emissions rules would have permitted operation from 2473 MHz to 2495 MHz at conducted power limit of 30 dBm and an EIRP limit of 36 dBm.  At the upper band edge, a commercial out of band emissions limit was imposed at 43 + 10 log (P) dB at 2495 MHz and 55 + 10 log (P) dB at X MHz from the band edge, where X is the greater of 6 MHz or the actual emissions bandwidth.  No standard out of band emissions limit was set at 2473 MHz.  Instead, CFR Part 15.247(d) would limit out of band emissions below 2473 MHz to 20 dB below the maximum power of the emission between 2473 MHz and 2495 MHz.</w:t>
        </w:r>
      </w:ins>
    </w:p>
    <w:p w:rsidR="003C716D" w:rsidRDefault="003C716D" w:rsidP="003C716D">
      <w:pPr>
        <w:rPr>
          <w:ins w:id="25" w:author="John Dooley" w:date="2018-08-10T14:38:00Z"/>
          <w:rFonts w:eastAsia="Calibri"/>
          <w:sz w:val="20"/>
          <w:szCs w:val="20"/>
        </w:rPr>
      </w:pPr>
    </w:p>
    <w:p w:rsidR="003C716D" w:rsidRDefault="003C716D" w:rsidP="003C716D">
      <w:pPr>
        <w:rPr>
          <w:ins w:id="26" w:author="John Dooley" w:date="2018-08-10T14:38:00Z"/>
          <w:rFonts w:eastAsia="Calibri"/>
          <w:sz w:val="20"/>
          <w:szCs w:val="20"/>
        </w:rPr>
      </w:pPr>
      <w:ins w:id="27" w:author="John Dooley" w:date="2018-08-10T14:38:00Z">
        <w:r>
          <w:rPr>
            <w:rFonts w:eastAsia="Calibri"/>
            <w:sz w:val="20"/>
            <w:szCs w:val="20"/>
          </w:rPr>
          <w:t>While using this construct to enable 802.11 Channel 14 would have effectively created a fourth orthogonal channel in the US regulatory domain (Channels 1, 6, and 11 are the only non-overlapping channels currently utilized), the NPRM was generally opposed by unlicensed interests.  Numerous unlicensed advocates argued that the proposed band plan would (a) degrade 802.11 Channel 11 (spanning 2451 MHz to 2473 MHz) through adjacent channel interference, and (b) degrade Bluetooth operations (spanning 2402 to 2480 MHz) by providing co-channel interference to several of the upper channels, which are generally unencumbered by other co-channel interference sources in the US regulatory domain.</w:t>
        </w:r>
      </w:ins>
    </w:p>
    <w:p w:rsidR="003C716D" w:rsidRDefault="003C716D" w:rsidP="003C716D">
      <w:pPr>
        <w:rPr>
          <w:ins w:id="28" w:author="John Dooley" w:date="2018-08-10T14:38:00Z"/>
          <w:rFonts w:eastAsia="Calibri"/>
          <w:sz w:val="20"/>
          <w:szCs w:val="20"/>
        </w:rPr>
      </w:pPr>
    </w:p>
    <w:p w:rsidR="003C716D" w:rsidRDefault="0046703F" w:rsidP="003C716D">
      <w:pPr>
        <w:rPr>
          <w:ins w:id="29" w:author="John Dooley" w:date="2018-08-10T14:38:00Z"/>
          <w:rFonts w:eastAsia="Calibri"/>
          <w:sz w:val="20"/>
          <w:szCs w:val="20"/>
        </w:rPr>
      </w:pPr>
      <w:ins w:id="30" w:author="John Dooley" w:date="2018-08-10T14:10:00Z">
        <w:r w:rsidRPr="00720B77">
          <w:rPr>
            <w:rFonts w:eastAsia="Calibri"/>
            <w:noProof/>
            <w:sz w:val="20"/>
            <w:szCs w:val="20"/>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480pt;height:111.35pt;visibility:visible;mso-width-percent:0;mso-height-percent:0;mso-width-percent:0;mso-height-percent:0">
              <v:imagedata r:id="rId13" o:title=""/>
            </v:shape>
          </w:pict>
        </w:r>
      </w:ins>
    </w:p>
    <w:p w:rsidR="003C716D" w:rsidRDefault="003C716D" w:rsidP="003C716D">
      <w:pPr>
        <w:pStyle w:val="ListParagraph"/>
        <w:numPr>
          <w:ilvl w:val="0"/>
          <w:numId w:val="1"/>
        </w:numPr>
        <w:rPr>
          <w:ins w:id="31" w:author="John Dooley" w:date="2018-08-10T14:38:00Z"/>
          <w:rFonts w:eastAsia="Calibri"/>
          <w:sz w:val="20"/>
          <w:szCs w:val="20"/>
        </w:rPr>
      </w:pPr>
      <w:ins w:id="32" w:author="John Dooley" w:date="2018-08-10T14:38:00Z">
        <w:r>
          <w:rPr>
            <w:rFonts w:eastAsia="Calibri"/>
            <w:sz w:val="20"/>
            <w:szCs w:val="20"/>
          </w:rPr>
          <w:t>Figure 6.2.2-1:  2.4 GHz Terrestrial Band Plan Originally Proposed in FCC NPRM</w:t>
        </w:r>
      </w:ins>
    </w:p>
    <w:p w:rsidR="003C716D" w:rsidRDefault="003C716D" w:rsidP="003C716D">
      <w:pPr>
        <w:rPr>
          <w:ins w:id="33" w:author="John Dooley" w:date="2018-08-10T14:38:00Z"/>
          <w:rFonts w:eastAsia="Calibri"/>
          <w:sz w:val="20"/>
          <w:szCs w:val="20"/>
        </w:rPr>
      </w:pPr>
    </w:p>
    <w:p w:rsidR="003C716D" w:rsidRDefault="003C716D" w:rsidP="003C716D">
      <w:pPr>
        <w:rPr>
          <w:ins w:id="34" w:author="John Dooley" w:date="2018-08-10T14:38:00Z"/>
          <w:rFonts w:eastAsia="Calibri"/>
          <w:sz w:val="20"/>
          <w:szCs w:val="20"/>
        </w:rPr>
      </w:pPr>
    </w:p>
    <w:p w:rsidR="003C716D" w:rsidRPr="00776A81" w:rsidRDefault="003C716D" w:rsidP="003C716D">
      <w:pPr>
        <w:pStyle w:val="Heading2"/>
        <w:rPr>
          <w:ins w:id="35" w:author="John Dooley" w:date="2018-08-10T14:38:00Z"/>
          <w:sz w:val="24"/>
        </w:rPr>
      </w:pPr>
      <w:ins w:id="36" w:author="John Dooley" w:date="2018-08-10T14:38:00Z">
        <w:r>
          <w:rPr>
            <w:sz w:val="24"/>
            <w:lang w:val="en-US"/>
          </w:rPr>
          <w:t>6.2.3</w:t>
        </w:r>
        <w:r w:rsidRPr="00776A81">
          <w:rPr>
            <w:sz w:val="24"/>
            <w:lang w:val="en-US"/>
          </w:rPr>
          <w:tab/>
        </w:r>
        <w:r>
          <w:rPr>
            <w:sz w:val="24"/>
            <w:lang w:val="en-US"/>
          </w:rPr>
          <w:t>Counter-P</w:t>
        </w:r>
        <w:r>
          <w:rPr>
            <w:sz w:val="24"/>
          </w:rPr>
          <w:t>roposal for Unlicensed Access from 2400 MHz to 2495 MHz</w:t>
        </w:r>
      </w:ins>
    </w:p>
    <w:p w:rsidR="003C716D" w:rsidRPr="00CB0931" w:rsidRDefault="003C716D" w:rsidP="003C716D">
      <w:pPr>
        <w:pStyle w:val="Heading2"/>
        <w:ind w:left="0" w:firstLine="0"/>
        <w:rPr>
          <w:ins w:id="37" w:author="John Dooley" w:date="2018-08-10T14:38:00Z"/>
          <w:rFonts w:ascii="Times New Roman" w:eastAsia="Calibri" w:hAnsi="Times New Roman"/>
          <w:sz w:val="20"/>
          <w:szCs w:val="20"/>
        </w:rPr>
      </w:pPr>
      <w:ins w:id="38" w:author="John Dooley" w:date="2018-08-10T14:38:00Z">
        <w:r w:rsidRPr="000D79D7">
          <w:rPr>
            <w:rFonts w:ascii="Times New Roman" w:eastAsia="Calibri" w:hAnsi="Times New Roman"/>
            <w:sz w:val="20"/>
            <w:szCs w:val="20"/>
          </w:rPr>
          <w:t>I</w:t>
        </w:r>
        <w:r>
          <w:rPr>
            <w:rFonts w:ascii="Times New Roman" w:eastAsia="Calibri" w:hAnsi="Times New Roman"/>
            <w:sz w:val="20"/>
            <w:szCs w:val="20"/>
          </w:rPr>
          <w:t>n response to the proposed rule</w:t>
        </w:r>
        <w:r w:rsidRPr="000D79D7">
          <w:rPr>
            <w:rFonts w:ascii="Times New Roman" w:eastAsia="Calibri" w:hAnsi="Times New Roman"/>
            <w:sz w:val="20"/>
            <w:szCs w:val="20"/>
          </w:rPr>
          <w:t>making by the FCC, certain unlicensed parties objected to the establishment of a Part 25 licensed service that would effectively enjoy special privileges in Part 15 unlicensed spectrum.  Of specific concern was increased in</w:t>
        </w:r>
        <w:r>
          <w:rPr>
            <w:rFonts w:ascii="Times New Roman" w:eastAsia="Calibri" w:hAnsi="Times New Roman"/>
            <w:sz w:val="20"/>
            <w:szCs w:val="20"/>
          </w:rPr>
          <w:t xml:space="preserve">terference </w:t>
        </w:r>
        <w:r w:rsidRPr="000D79D7">
          <w:rPr>
            <w:rFonts w:ascii="Times New Roman" w:eastAsia="Calibri" w:hAnsi="Times New Roman"/>
            <w:sz w:val="20"/>
            <w:szCs w:val="20"/>
          </w:rPr>
          <w:t>from 2473 MHz to 2483.5 MHz.  While this frequency range is available for unrestricted use in virtually all regulatory domains across the world, Part</w:t>
        </w:r>
        <w:r>
          <w:rPr>
            <w:rFonts w:ascii="Times New Roman" w:eastAsia="Calibri" w:hAnsi="Times New Roman"/>
            <w:sz w:val="20"/>
            <w:szCs w:val="20"/>
          </w:rPr>
          <w:t xml:space="preserve"> 15 emissions rules prohibit</w:t>
        </w:r>
        <w:r w:rsidRPr="000D79D7">
          <w:rPr>
            <w:rFonts w:ascii="Times New Roman" w:eastAsia="Calibri" w:hAnsi="Times New Roman"/>
            <w:sz w:val="20"/>
            <w:szCs w:val="20"/>
          </w:rPr>
          <w:t xml:space="preserve"> 802.11 operations above 2473 MHz (above 802.11 Channel 11)</w:t>
        </w:r>
        <w:r>
          <w:rPr>
            <w:rFonts w:ascii="Times New Roman" w:eastAsia="Calibri" w:hAnsi="Times New Roman"/>
            <w:sz w:val="20"/>
            <w:szCs w:val="20"/>
          </w:rPr>
          <w:t xml:space="preserve"> [6]</w:t>
        </w:r>
        <w:r w:rsidRPr="000D79D7">
          <w:rPr>
            <w:rFonts w:ascii="Times New Roman" w:eastAsia="Calibri" w:hAnsi="Times New Roman"/>
            <w:sz w:val="20"/>
            <w:szCs w:val="20"/>
          </w:rPr>
          <w:t xml:space="preserve">.  </w:t>
        </w:r>
        <w:r>
          <w:rPr>
            <w:rFonts w:ascii="Times New Roman" w:eastAsia="Calibri" w:hAnsi="Times New Roman"/>
            <w:sz w:val="20"/>
            <w:szCs w:val="20"/>
          </w:rPr>
          <w:t>This restriction disables the non-overlapping four channel 802.11 system (Channels 1, 5, 9, and 13) and encourages the use of the more spectrally efficient non-overlapping three channel 802.11 system (Channels 1, 6, and 11).  More significantly, this restriction</w:t>
        </w:r>
        <w:r w:rsidRPr="000D79D7">
          <w:rPr>
            <w:rFonts w:ascii="Times New Roman" w:eastAsia="Calibri" w:hAnsi="Times New Roman"/>
            <w:sz w:val="20"/>
            <w:szCs w:val="20"/>
          </w:rPr>
          <w:t xml:space="preserve"> enables several megahertz of relatively interference free spectrum for Bluetooth operations, most notably for </w:t>
        </w:r>
        <w:r>
          <w:rPr>
            <w:rFonts w:ascii="Times New Roman" w:eastAsia="Calibri" w:hAnsi="Times New Roman"/>
            <w:sz w:val="20"/>
            <w:szCs w:val="20"/>
          </w:rPr>
          <w:t xml:space="preserve">the </w:t>
        </w:r>
        <w:r w:rsidRPr="000D79D7">
          <w:rPr>
            <w:rFonts w:ascii="Times New Roman" w:eastAsia="Calibri" w:hAnsi="Times New Roman"/>
            <w:sz w:val="20"/>
            <w:szCs w:val="20"/>
          </w:rPr>
          <w:t>Bluetooth advertising channel</w:t>
        </w:r>
        <w:r>
          <w:rPr>
            <w:rFonts w:ascii="Times New Roman" w:eastAsia="Calibri" w:hAnsi="Times New Roman"/>
            <w:sz w:val="20"/>
            <w:szCs w:val="20"/>
          </w:rPr>
          <w:t xml:space="preserve"> </w:t>
        </w:r>
        <w:r w:rsidRPr="000D79D7">
          <w:rPr>
            <w:rFonts w:ascii="Times New Roman" w:eastAsia="Calibri" w:hAnsi="Times New Roman"/>
            <w:sz w:val="20"/>
            <w:szCs w:val="20"/>
          </w:rPr>
          <w:t>centered at 2480 MHz.</w:t>
        </w:r>
      </w:ins>
    </w:p>
    <w:p w:rsidR="003C716D" w:rsidRPr="000D79D7" w:rsidRDefault="003C716D" w:rsidP="003C716D">
      <w:pPr>
        <w:rPr>
          <w:ins w:id="39" w:author="John Dooley" w:date="2018-08-10T14:38:00Z"/>
          <w:rFonts w:eastAsia="Calibri"/>
          <w:sz w:val="20"/>
          <w:szCs w:val="20"/>
          <w:lang w:val="en-GB" w:eastAsia="zh-CN"/>
        </w:rPr>
      </w:pPr>
      <w:ins w:id="40" w:author="John Dooley" w:date="2018-08-10T14:38:00Z">
        <w:r w:rsidRPr="000D79D7">
          <w:rPr>
            <w:rFonts w:eastAsia="Calibri"/>
            <w:sz w:val="20"/>
            <w:szCs w:val="20"/>
            <w:lang w:val="en-GB" w:eastAsia="zh-CN"/>
          </w:rPr>
          <w:t>C</w:t>
        </w:r>
        <w:r>
          <w:rPr>
            <w:rFonts w:eastAsia="Calibri"/>
            <w:sz w:val="20"/>
            <w:szCs w:val="20"/>
            <w:lang w:val="en-GB" w:eastAsia="zh-CN"/>
          </w:rPr>
          <w:t xml:space="preserve">able interests and the Wi-Fi Alliance argued for </w:t>
        </w:r>
        <w:r w:rsidRPr="000D79D7">
          <w:rPr>
            <w:rFonts w:eastAsia="Calibri"/>
            <w:sz w:val="20"/>
            <w:szCs w:val="20"/>
            <w:lang w:val="en-GB" w:eastAsia="zh-CN"/>
          </w:rPr>
          <w:t>loosening of Part 15 restrictions from 2473 MHz to 2483.5 to permit up to 13 802.11 channels (or two non-overlapping</w:t>
        </w:r>
        <w:r>
          <w:rPr>
            <w:rFonts w:eastAsia="Calibri"/>
            <w:sz w:val="20"/>
            <w:szCs w:val="20"/>
            <w:lang w:val="en-GB" w:eastAsia="zh-CN"/>
          </w:rPr>
          <w:t xml:space="preserve"> bonded</w:t>
        </w:r>
        <w:r w:rsidRPr="000D79D7">
          <w:rPr>
            <w:rFonts w:eastAsia="Calibri"/>
            <w:sz w:val="20"/>
            <w:szCs w:val="20"/>
            <w:lang w:val="en-GB" w:eastAsia="zh-CN"/>
          </w:rPr>
          <w:t xml:space="preserve"> 40 MHz channels) in the US regulatory domain</w:t>
        </w:r>
        <w:r>
          <w:rPr>
            <w:rFonts w:eastAsia="Calibri"/>
            <w:sz w:val="20"/>
            <w:szCs w:val="20"/>
            <w:lang w:val="en-GB" w:eastAsia="zh-CN"/>
          </w:rPr>
          <w:t xml:space="preserve"> [7]</w:t>
        </w:r>
        <w:r w:rsidRPr="000D79D7">
          <w:rPr>
            <w:rFonts w:eastAsia="Calibri"/>
            <w:sz w:val="20"/>
            <w:szCs w:val="20"/>
            <w:lang w:val="en-GB" w:eastAsia="zh-CN"/>
          </w:rPr>
          <w:t>.  This would enable 802.11 channel utilization similar to that in most other countries.  The Bluetooth SIG went further, advocating for Part 15 access extending f</w:t>
        </w:r>
        <w:r>
          <w:rPr>
            <w:rFonts w:eastAsia="Calibri"/>
            <w:sz w:val="20"/>
            <w:szCs w:val="20"/>
            <w:lang w:val="en-GB" w:eastAsia="zh-CN"/>
          </w:rPr>
          <w:t>ully to 2495 MHz to permit a</w:t>
        </w:r>
        <w:r w:rsidRPr="000D79D7">
          <w:rPr>
            <w:rFonts w:eastAsia="Calibri"/>
            <w:sz w:val="20"/>
            <w:szCs w:val="20"/>
            <w:lang w:val="en-GB" w:eastAsia="zh-CN"/>
          </w:rPr>
          <w:t xml:space="preserve"> 14 Channel 802.11 system or up to an 80 MHz bonded 802.11 channel</w:t>
        </w:r>
        <w:r>
          <w:rPr>
            <w:rFonts w:eastAsia="Calibri"/>
            <w:sz w:val="20"/>
            <w:szCs w:val="20"/>
            <w:lang w:val="en-GB" w:eastAsia="zh-CN"/>
          </w:rPr>
          <w:t xml:space="preserve"> [8].  The band plans proposed by the Bluetooth SIG is shown in Figure 6.2.3-1.  All counterproposals from the unlicensed community would have eliminated the effective safe haven for Bluetooth operations above 2473 MHz.</w:t>
        </w:r>
      </w:ins>
    </w:p>
    <w:p w:rsidR="003C716D" w:rsidRPr="007728CA" w:rsidRDefault="003C716D" w:rsidP="003C716D">
      <w:pPr>
        <w:rPr>
          <w:ins w:id="41" w:author="John Dooley" w:date="2018-08-10T14:38:00Z"/>
          <w:rFonts w:eastAsia="Calibri"/>
          <w:lang w:val="en-GB" w:eastAsia="zh-CN"/>
        </w:rPr>
      </w:pPr>
    </w:p>
    <w:p w:rsidR="003C716D" w:rsidRPr="008B6D9D" w:rsidRDefault="0046703F" w:rsidP="003C716D">
      <w:pPr>
        <w:rPr>
          <w:ins w:id="42" w:author="John Dooley" w:date="2018-08-10T14:38:00Z"/>
          <w:rFonts w:eastAsia="Calibri"/>
          <w:lang w:val="en-GB" w:eastAsia="zh-CN"/>
        </w:rPr>
      </w:pPr>
      <w:ins w:id="43" w:author="John Dooley" w:date="2018-08-10T14:10:00Z">
        <w:r w:rsidRPr="00720B77">
          <w:rPr>
            <w:rFonts w:eastAsia="Calibri"/>
            <w:noProof/>
            <w:lang w:val="en-GB" w:eastAsia="zh-CN"/>
          </w:rPr>
          <w:pict>
            <v:shape id="Picture 18" o:spid="_x0000_i1035" type="#_x0000_t75" alt="" style="width:480pt;height:110pt;visibility:visible;mso-width-percent:0;mso-height-percent:0;mso-width-percent:0;mso-height-percent:0">
              <v:imagedata r:id="rId14" o:title=""/>
            </v:shape>
          </w:pict>
        </w:r>
      </w:ins>
    </w:p>
    <w:p w:rsidR="003C716D" w:rsidRDefault="003C716D" w:rsidP="003C716D">
      <w:pPr>
        <w:pStyle w:val="ListParagraph"/>
        <w:numPr>
          <w:ilvl w:val="0"/>
          <w:numId w:val="1"/>
        </w:numPr>
        <w:rPr>
          <w:ins w:id="44" w:author="John Dooley" w:date="2018-08-10T14:38:00Z"/>
          <w:rFonts w:eastAsia="Calibri"/>
          <w:sz w:val="20"/>
          <w:szCs w:val="20"/>
        </w:rPr>
      </w:pPr>
      <w:ins w:id="45" w:author="John Dooley" w:date="2018-08-10T14:38:00Z">
        <w:r>
          <w:rPr>
            <w:rFonts w:eastAsia="Calibri"/>
            <w:sz w:val="20"/>
            <w:szCs w:val="20"/>
          </w:rPr>
          <w:t>Figure 6.2.3-1:  2.4 GHz Terrestrial Band Plan Counter-Proposed by Bluetooth SIG</w:t>
        </w:r>
      </w:ins>
    </w:p>
    <w:p w:rsidR="003C716D" w:rsidRDefault="003C716D" w:rsidP="003C716D">
      <w:pPr>
        <w:rPr>
          <w:ins w:id="46" w:author="John Dooley" w:date="2018-08-10T14:38:00Z"/>
          <w:rFonts w:eastAsia="Calibri"/>
          <w:sz w:val="20"/>
          <w:szCs w:val="20"/>
        </w:rPr>
      </w:pPr>
    </w:p>
    <w:p w:rsidR="003C716D" w:rsidRPr="006E47D7" w:rsidRDefault="003C716D" w:rsidP="003C716D">
      <w:pPr>
        <w:rPr>
          <w:ins w:id="47" w:author="John Dooley" w:date="2018-08-10T14:38:00Z"/>
          <w:rFonts w:eastAsia="Calibri"/>
          <w:sz w:val="20"/>
          <w:szCs w:val="20"/>
        </w:rPr>
      </w:pPr>
    </w:p>
    <w:p w:rsidR="003C716D" w:rsidRPr="00BB37FB" w:rsidRDefault="003C716D" w:rsidP="003C716D">
      <w:pPr>
        <w:pStyle w:val="Heading2"/>
        <w:rPr>
          <w:ins w:id="48" w:author="John Dooley" w:date="2018-08-10T14:38:00Z"/>
          <w:sz w:val="24"/>
        </w:rPr>
      </w:pPr>
      <w:ins w:id="49" w:author="John Dooley" w:date="2018-08-10T14:38:00Z">
        <w:r>
          <w:rPr>
            <w:sz w:val="24"/>
            <w:lang w:val="en-US"/>
          </w:rPr>
          <w:t>6.2.4</w:t>
        </w:r>
        <w:r w:rsidRPr="00F61B71">
          <w:rPr>
            <w:sz w:val="24"/>
            <w:lang w:val="en-US"/>
          </w:rPr>
          <w:tab/>
        </w:r>
        <w:r>
          <w:rPr>
            <w:sz w:val="24"/>
          </w:rPr>
          <w:t>2.4 GHz Terrestrial Band Plan Ratified by the FCC</w:t>
        </w:r>
      </w:ins>
    </w:p>
    <w:p w:rsidR="003C716D" w:rsidRDefault="003C716D" w:rsidP="003C716D">
      <w:pPr>
        <w:rPr>
          <w:ins w:id="50" w:author="John Dooley" w:date="2018-08-10T14:38:00Z"/>
          <w:rFonts w:eastAsia="Calibri"/>
          <w:sz w:val="20"/>
          <w:szCs w:val="20"/>
        </w:rPr>
      </w:pPr>
      <w:ins w:id="51" w:author="John Dooley" w:date="2018-08-10T14:38:00Z">
        <w:r>
          <w:rPr>
            <w:rFonts w:eastAsia="Calibri"/>
            <w:sz w:val="20"/>
            <w:szCs w:val="20"/>
          </w:rPr>
          <w:t>A 2.4 GHz terrestrial band plan was eventually ratified by FCC Report and Order 16-181.  Representing a compromise with unlicensed contributors to the regulatory process, finalized rules created an 11.5 MHz terrestrial allocation spanning the original ATC footprint from 2483.5 MHz to 2495 MHz.  Utilization of the 802.11 transceiver ecosystem was no longer possible with this reduced frequency range.  Instead, the band was repurposed for LTE use, which became the motivation for the current WI.</w:t>
        </w:r>
      </w:ins>
    </w:p>
    <w:p w:rsidR="003C716D" w:rsidRDefault="003C716D" w:rsidP="003C716D">
      <w:pPr>
        <w:rPr>
          <w:ins w:id="52" w:author="John Dooley" w:date="2018-08-10T14:38:00Z"/>
          <w:rFonts w:eastAsia="Calibri"/>
          <w:sz w:val="20"/>
          <w:szCs w:val="20"/>
        </w:rPr>
      </w:pPr>
    </w:p>
    <w:p w:rsidR="003C716D" w:rsidRDefault="003C716D" w:rsidP="003C716D">
      <w:pPr>
        <w:rPr>
          <w:ins w:id="53" w:author="John Dooley" w:date="2018-08-10T14:38:00Z"/>
          <w:rFonts w:eastAsia="Calibri"/>
          <w:sz w:val="20"/>
          <w:szCs w:val="20"/>
        </w:rPr>
      </w:pPr>
      <w:ins w:id="54" w:author="John Dooley" w:date="2018-08-10T14:38:00Z">
        <w:r>
          <w:rPr>
            <w:rFonts w:eastAsia="Calibri"/>
            <w:sz w:val="20"/>
            <w:szCs w:val="20"/>
          </w:rPr>
          <w:t xml:space="preserve">The band plan set forth in the FCC Report and Order is shown in Figure 6.2.4-1.  As with the original proposal in the FCC NPRM, power limits (conducted and EIRP) match those in Part 15 for unlicensed services below 2483.5 MHz.  Unlike the proposal in the NPRM, special emissions rules were imposed at 2483.5 MHz to protect Part 15 operations in unlicensed spectrum </w:t>
        </w:r>
        <w:r w:rsidRPr="00983A53">
          <w:rPr>
            <w:rFonts w:eastAsia="Calibri"/>
            <w:i/>
            <w:sz w:val="20"/>
            <w:szCs w:val="20"/>
          </w:rPr>
          <w:t>(see</w:t>
        </w:r>
        <w:r>
          <w:rPr>
            <w:rFonts w:eastAsia="Calibri"/>
            <w:sz w:val="20"/>
            <w:szCs w:val="20"/>
          </w:rPr>
          <w:t xml:space="preserve"> Section 6.5.4: Emissions Limits Below 2483.5 MHz for Unlicensed Band Protection).</w:t>
        </w:r>
      </w:ins>
    </w:p>
    <w:p w:rsidR="003C716D" w:rsidRPr="00D02670" w:rsidRDefault="003C716D" w:rsidP="003C716D">
      <w:pPr>
        <w:rPr>
          <w:ins w:id="55" w:author="John Dooley" w:date="2018-08-10T14:38:00Z"/>
          <w:szCs w:val="20"/>
        </w:rPr>
      </w:pPr>
    </w:p>
    <w:p w:rsidR="003C716D" w:rsidRDefault="0046703F" w:rsidP="003C716D">
      <w:pPr>
        <w:rPr>
          <w:ins w:id="56" w:author="John Dooley" w:date="2018-08-10T14:38:00Z"/>
          <w:sz w:val="20"/>
          <w:szCs w:val="20"/>
        </w:rPr>
      </w:pPr>
      <w:ins w:id="57" w:author="John Dooley" w:date="2018-08-10T14:10:00Z">
        <w:r w:rsidRPr="00720B77">
          <w:rPr>
            <w:noProof/>
            <w:sz w:val="20"/>
            <w:szCs w:val="20"/>
          </w:rPr>
          <w:lastRenderedPageBreak/>
          <w:pict>
            <v:shape id="Picture 12" o:spid="_x0000_i1034" type="#_x0000_t75" alt="" style="width:480pt;height:110pt;visibility:visible;mso-width-percent:0;mso-height-percent:0;mso-width-percent:0;mso-height-percent:0">
              <v:imagedata r:id="rId15" o:title=""/>
            </v:shape>
          </w:pict>
        </w:r>
      </w:ins>
    </w:p>
    <w:p w:rsidR="003C716D" w:rsidRDefault="003C716D" w:rsidP="003C716D">
      <w:pPr>
        <w:numPr>
          <w:ilvl w:val="0"/>
          <w:numId w:val="1"/>
        </w:numPr>
        <w:contextualSpacing/>
        <w:rPr>
          <w:ins w:id="58" w:author="John Dooley" w:date="2018-08-10T14:38:00Z"/>
          <w:rFonts w:eastAsia="Calibri"/>
          <w:sz w:val="20"/>
          <w:szCs w:val="20"/>
        </w:rPr>
      </w:pPr>
      <w:ins w:id="59" w:author="John Dooley" w:date="2018-08-10T14:38:00Z">
        <w:r>
          <w:rPr>
            <w:rFonts w:eastAsia="Calibri"/>
            <w:sz w:val="20"/>
            <w:szCs w:val="20"/>
          </w:rPr>
          <w:t>Figure 6.2.4</w:t>
        </w:r>
        <w:r w:rsidRPr="002C535D">
          <w:rPr>
            <w:rFonts w:eastAsia="Calibri"/>
            <w:sz w:val="20"/>
            <w:szCs w:val="20"/>
          </w:rPr>
          <w:t xml:space="preserve">-1:  2.4 GHz Terrestrial Band </w:t>
        </w:r>
        <w:r>
          <w:rPr>
            <w:rFonts w:eastAsia="Calibri"/>
            <w:sz w:val="20"/>
            <w:szCs w:val="20"/>
          </w:rPr>
          <w:t>Plan Ratified by FCC Report and Order</w:t>
        </w:r>
      </w:ins>
    </w:p>
    <w:p w:rsidR="003C716D" w:rsidRDefault="003C716D" w:rsidP="003C716D">
      <w:pPr>
        <w:contextualSpacing/>
        <w:rPr>
          <w:ins w:id="60" w:author="John Dooley" w:date="2018-08-10T14:38:00Z"/>
          <w:rFonts w:eastAsia="Calibri"/>
          <w:sz w:val="20"/>
          <w:szCs w:val="20"/>
        </w:rPr>
      </w:pPr>
    </w:p>
    <w:p w:rsidR="003C716D" w:rsidRDefault="003C716D" w:rsidP="003C716D">
      <w:pPr>
        <w:contextualSpacing/>
        <w:rPr>
          <w:ins w:id="61" w:author="John Dooley" w:date="2018-08-10T14:38:00Z"/>
          <w:rFonts w:eastAsia="Calibri"/>
          <w:sz w:val="20"/>
          <w:szCs w:val="20"/>
        </w:rPr>
      </w:pPr>
    </w:p>
    <w:p w:rsidR="003C716D" w:rsidRPr="00D245F9" w:rsidRDefault="003C716D" w:rsidP="003C716D">
      <w:pPr>
        <w:pStyle w:val="Heading2"/>
        <w:rPr>
          <w:ins w:id="62" w:author="John Dooley" w:date="2018-08-10T14:38:00Z"/>
        </w:rPr>
      </w:pPr>
      <w:ins w:id="63" w:author="John Dooley" w:date="2018-08-10T14:38:00Z">
        <w:r>
          <w:rPr>
            <w:lang w:val="en-US"/>
          </w:rPr>
          <w:t>6.3</w:t>
        </w:r>
        <w:r w:rsidRPr="00D245F9">
          <w:rPr>
            <w:lang w:val="en-US"/>
          </w:rPr>
          <w:tab/>
        </w:r>
        <w:r>
          <w:rPr>
            <w:lang w:val="en-US"/>
          </w:rPr>
          <w:t xml:space="preserve">Ratified </w:t>
        </w:r>
        <w:r>
          <w:t>2.4 GHz Terrestrial Band Relative to Common Unlicensed Applications</w:t>
        </w:r>
      </w:ins>
    </w:p>
    <w:p w:rsidR="003C716D" w:rsidRPr="00776A81" w:rsidRDefault="003C716D" w:rsidP="003C716D">
      <w:pPr>
        <w:pStyle w:val="Heading2"/>
        <w:rPr>
          <w:ins w:id="64" w:author="John Dooley" w:date="2018-08-10T14:38:00Z"/>
          <w:sz w:val="24"/>
        </w:rPr>
      </w:pPr>
      <w:ins w:id="65" w:author="John Dooley" w:date="2018-08-10T14:38:00Z">
        <w:r>
          <w:rPr>
            <w:sz w:val="24"/>
            <w:lang w:val="en-US"/>
          </w:rPr>
          <w:t>6.3</w:t>
        </w:r>
        <w:r w:rsidRPr="00776A81">
          <w:rPr>
            <w:sz w:val="24"/>
            <w:lang w:val="en-US"/>
          </w:rPr>
          <w:t>.1</w:t>
        </w:r>
        <w:r w:rsidRPr="00776A81">
          <w:rPr>
            <w:sz w:val="24"/>
            <w:lang w:val="en-US"/>
          </w:rPr>
          <w:tab/>
        </w:r>
        <w:r>
          <w:rPr>
            <w:sz w:val="24"/>
          </w:rPr>
          <w:t>2.4 GHz Terrestrial Band Relative to Entire Unlicensed Band in the United States</w:t>
        </w:r>
      </w:ins>
    </w:p>
    <w:p w:rsidR="003C716D" w:rsidRDefault="003C716D" w:rsidP="003C716D">
      <w:pPr>
        <w:rPr>
          <w:ins w:id="66" w:author="John Dooley" w:date="2018-08-10T14:38:00Z"/>
          <w:rFonts w:eastAsia="Calibri"/>
          <w:sz w:val="20"/>
          <w:szCs w:val="20"/>
        </w:rPr>
      </w:pPr>
      <w:ins w:id="67" w:author="John Dooley" w:date="2018-08-10T14:38:00Z">
        <w:r>
          <w:rPr>
            <w:rFonts w:eastAsia="Calibri"/>
            <w:sz w:val="20"/>
            <w:szCs w:val="20"/>
          </w:rPr>
          <w:t>While Part 15.247 permits unlicensed applications to utilize higher radiated power than is typical in regulatory domains outside of the US [9], the OOBE regulations imposed by Part 15.209 effectively limit the number of 802.11 channels to 11.  This limitation not only reinforces what is generally regarded as the optimum non-overlapping Wi-Fi channel arrangement (Channels 1, 6, and 11), but also helps maintain relatively low interference conditions between 2473 MHz and 2483.5 MHz.  This creates an effective safe haven for approximately four Bluetooth channels, including the advertising channel at 2480 MHz, while also eliminating the adjacent and co-channel interference impact to 802.11 Channel 11 from 802.11 Channels 12-13.  Preserving the benefits of this unique US band configuration for sensitive Part 15 applications was a major motivating force behind objections by unlicensed interests to the originally proposed 2.4 GHz terrestrial band plan.</w:t>
        </w:r>
      </w:ins>
    </w:p>
    <w:p w:rsidR="003C716D" w:rsidRDefault="003C716D" w:rsidP="003C716D">
      <w:pPr>
        <w:rPr>
          <w:ins w:id="68" w:author="John Dooley" w:date="2018-08-10T14:38:00Z"/>
          <w:rFonts w:eastAsia="Calibri"/>
          <w:sz w:val="20"/>
          <w:szCs w:val="20"/>
        </w:rPr>
      </w:pPr>
    </w:p>
    <w:p w:rsidR="003C716D" w:rsidRPr="003946F4" w:rsidRDefault="003C716D" w:rsidP="003C716D">
      <w:pPr>
        <w:rPr>
          <w:ins w:id="69" w:author="John Dooley" w:date="2018-08-10T14:38:00Z"/>
          <w:rFonts w:eastAsia="Calibri"/>
          <w:sz w:val="20"/>
          <w:szCs w:val="20"/>
        </w:rPr>
      </w:pPr>
      <w:ins w:id="70" w:author="John Dooley" w:date="2018-08-10T14:38:00Z">
        <w:r>
          <w:rPr>
            <w:rFonts w:eastAsia="Calibri"/>
            <w:sz w:val="20"/>
            <w:szCs w:val="20"/>
          </w:rPr>
          <w:t xml:space="preserve">Figure 6.3.1-1 depicts a spectrogram taken between 2400 MHz and 2483.5 MHz in Boston, which reflects typical US band conditions.  Overlaid atop the spectrogram are available 802.11 and Bluetooth channel configurations.  As expected, the three channel 802.11 system predominates, with significant activity on Channels 1, 6, and 11.  Intermediate (overlapping) 802.11 channel use and microwave oven activity contribute to a generally high noise and interference floor.  In this example, all three Bluetooth advertising channels are clearly evident.  However, the advertising channel at 2480 MHz is the least impacted by interference. </w:t>
        </w:r>
      </w:ins>
    </w:p>
    <w:p w:rsidR="003C716D" w:rsidRPr="00D871BE" w:rsidRDefault="0046703F" w:rsidP="003C716D">
      <w:pPr>
        <w:pStyle w:val="Heading2"/>
        <w:rPr>
          <w:ins w:id="71" w:author="John Dooley" w:date="2018-08-10T14:38:00Z"/>
          <w:rFonts w:eastAsia="Calibri"/>
          <w:sz w:val="20"/>
          <w:szCs w:val="20"/>
        </w:rPr>
      </w:pPr>
      <w:ins w:id="72" w:author="John Dooley" w:date="2018-08-10T14:10:00Z">
        <w:r w:rsidRPr="00720B77">
          <w:rPr>
            <w:rFonts w:eastAsia="Calibri"/>
            <w:noProof/>
            <w:sz w:val="20"/>
            <w:szCs w:val="20"/>
          </w:rPr>
          <w:lastRenderedPageBreak/>
          <w:pict>
            <v:shape id="Picture 5" o:spid="_x0000_i1033" type="#_x0000_t75" alt="" style="width:480pt;height:386pt;visibility:visible;mso-width-percent:0;mso-height-percent:0;mso-width-percent:0;mso-height-percent:0">
              <v:imagedata r:id="rId16" o:title=""/>
            </v:shape>
          </w:pict>
        </w:r>
      </w:ins>
    </w:p>
    <w:p w:rsidR="003C716D" w:rsidRPr="002C535D" w:rsidRDefault="003C716D" w:rsidP="003C716D">
      <w:pPr>
        <w:numPr>
          <w:ilvl w:val="0"/>
          <w:numId w:val="1"/>
        </w:numPr>
        <w:contextualSpacing/>
        <w:rPr>
          <w:ins w:id="73" w:author="John Dooley" w:date="2018-08-10T14:38:00Z"/>
          <w:rFonts w:eastAsia="Calibri"/>
          <w:sz w:val="20"/>
          <w:szCs w:val="20"/>
        </w:rPr>
      </w:pPr>
      <w:ins w:id="74" w:author="John Dooley" w:date="2018-08-10T14:38:00Z">
        <w:r>
          <w:rPr>
            <w:rFonts w:eastAsia="Calibri"/>
            <w:sz w:val="20"/>
            <w:szCs w:val="20"/>
          </w:rPr>
          <w:t>Figure 6.3.1-1:  Spectrogram of 2.4 GHz Band Spanning 2400 MHz to 2495 MHz (Boston)</w:t>
        </w:r>
      </w:ins>
    </w:p>
    <w:p w:rsidR="003C716D" w:rsidRDefault="003C716D" w:rsidP="003C716D">
      <w:pPr>
        <w:rPr>
          <w:ins w:id="75" w:author="John Dooley" w:date="2018-08-10T14:38:00Z"/>
          <w:lang w:eastAsia="zh-CN"/>
        </w:rPr>
      </w:pPr>
    </w:p>
    <w:p w:rsidR="003C716D" w:rsidRDefault="003C716D" w:rsidP="003C716D">
      <w:pPr>
        <w:rPr>
          <w:ins w:id="76" w:author="John Dooley" w:date="2018-08-10T14:38:00Z"/>
          <w:lang w:eastAsia="zh-CN"/>
        </w:rPr>
      </w:pPr>
    </w:p>
    <w:p w:rsidR="003C716D" w:rsidRPr="007A5A42" w:rsidRDefault="003C716D" w:rsidP="003C716D">
      <w:pPr>
        <w:pStyle w:val="Heading2"/>
        <w:rPr>
          <w:ins w:id="77" w:author="John Dooley" w:date="2018-08-10T14:38:00Z"/>
          <w:sz w:val="24"/>
        </w:rPr>
      </w:pPr>
      <w:ins w:id="78" w:author="John Dooley" w:date="2018-08-10T14:38:00Z">
        <w:r>
          <w:rPr>
            <w:sz w:val="24"/>
            <w:lang w:val="en-US"/>
          </w:rPr>
          <w:t>6.3.2</w:t>
        </w:r>
        <w:r w:rsidRPr="00776A81">
          <w:rPr>
            <w:sz w:val="24"/>
            <w:lang w:val="en-US"/>
          </w:rPr>
          <w:tab/>
        </w:r>
        <w:r>
          <w:rPr>
            <w:sz w:val="24"/>
          </w:rPr>
          <w:t>2.4 GHz Terrestrial Band Relative to Unlicensed Band in the Rest of World (RoW)</w:t>
        </w:r>
      </w:ins>
    </w:p>
    <w:p w:rsidR="003C716D" w:rsidRDefault="003C716D" w:rsidP="003C716D">
      <w:pPr>
        <w:rPr>
          <w:ins w:id="79" w:author="John Dooley" w:date="2018-08-10T14:38:00Z"/>
          <w:rFonts w:eastAsia="Calibri"/>
          <w:sz w:val="20"/>
          <w:szCs w:val="20"/>
        </w:rPr>
      </w:pPr>
      <w:ins w:id="80" w:author="John Dooley" w:date="2018-08-10T14:38:00Z">
        <w:r>
          <w:rPr>
            <w:rFonts w:eastAsia="Calibri"/>
            <w:sz w:val="20"/>
            <w:szCs w:val="20"/>
          </w:rPr>
          <w:t>Most regulatory domains outside of the US permit more liberal emissions across the 2.4 GHz unlicensed band.  This enables use of 13 802.11 channels, which creates support for not only the three channel 802.11 system (Channels 1, 6, and 11), but also a four channel system (Channels 1, 5, 9, and 13).  The relative safe haven enjoyed in the US regulatory domain by four upper Bluetooth channels, including the advertising channel at 2480 MHz is not present.</w:t>
        </w:r>
      </w:ins>
    </w:p>
    <w:p w:rsidR="003C716D" w:rsidRDefault="003C716D" w:rsidP="003C716D">
      <w:pPr>
        <w:rPr>
          <w:ins w:id="81" w:author="John Dooley" w:date="2018-08-10T14:38:00Z"/>
          <w:rFonts w:eastAsia="Calibri"/>
          <w:sz w:val="20"/>
          <w:szCs w:val="20"/>
        </w:rPr>
      </w:pPr>
    </w:p>
    <w:p w:rsidR="003C716D" w:rsidRDefault="003C716D" w:rsidP="003C716D">
      <w:pPr>
        <w:rPr>
          <w:ins w:id="82" w:author="John Dooley" w:date="2018-08-10T14:38:00Z"/>
          <w:rFonts w:eastAsia="Calibri"/>
          <w:sz w:val="20"/>
          <w:szCs w:val="20"/>
        </w:rPr>
      </w:pPr>
      <w:ins w:id="83" w:author="John Dooley" w:date="2018-08-10T14:38:00Z">
        <w:r>
          <w:rPr>
            <w:rFonts w:eastAsia="Calibri"/>
            <w:sz w:val="20"/>
            <w:szCs w:val="20"/>
          </w:rPr>
          <w:t xml:space="preserve">Figure 6.3.2-1 depicts a spectrogram taken between 2400 MHz and 2483.5 MHz in London, which reflects typical RoW band conditions.  Overlaid atop the spectrogram are available 802.11 and Bluetooth channel configurations.  While the three channel 802.11 system predominates, four channel 802.11 configurations are also common.  More common overlapping 802.11 channel use and general microwave oven activity contribute to an especially high noise and interference floor.  In this example, only the first Bluetooth advertising channel at 2402 MHz is clearly evident.  The third Bluetooth advertising channel at 2480 MHz, normally preserved in the US, is heavily compromised by co-channel interference from 802.11 Channel 13.  </w:t>
        </w:r>
      </w:ins>
    </w:p>
    <w:p w:rsidR="003C716D" w:rsidRDefault="0046703F" w:rsidP="003C716D">
      <w:pPr>
        <w:rPr>
          <w:ins w:id="84" w:author="John Dooley" w:date="2018-08-10T14:38:00Z"/>
          <w:rFonts w:eastAsia="Calibri"/>
          <w:sz w:val="20"/>
          <w:szCs w:val="20"/>
        </w:rPr>
      </w:pPr>
      <w:ins w:id="85" w:author="John Dooley" w:date="2018-08-10T14:10:00Z">
        <w:r w:rsidRPr="00720B77">
          <w:rPr>
            <w:rFonts w:eastAsia="Calibri"/>
            <w:noProof/>
            <w:sz w:val="20"/>
            <w:szCs w:val="20"/>
          </w:rPr>
          <w:lastRenderedPageBreak/>
          <w:pict>
            <v:shape id="Picture 13" o:spid="_x0000_i1032" type="#_x0000_t75" alt="" style="width:480pt;height:419.35pt;visibility:visible;mso-width-percent:0;mso-height-percent:0;mso-width-percent:0;mso-height-percent:0">
              <v:imagedata r:id="rId17" o:title=""/>
            </v:shape>
          </w:pict>
        </w:r>
      </w:ins>
    </w:p>
    <w:p w:rsidR="003C716D" w:rsidRPr="00D871BE" w:rsidRDefault="003C716D" w:rsidP="003C716D">
      <w:pPr>
        <w:rPr>
          <w:ins w:id="86" w:author="John Dooley" w:date="2018-08-10T14:38:00Z"/>
          <w:rFonts w:eastAsia="Calibri"/>
          <w:sz w:val="20"/>
          <w:szCs w:val="20"/>
        </w:rPr>
      </w:pPr>
    </w:p>
    <w:p w:rsidR="003C716D" w:rsidRPr="002C535D" w:rsidRDefault="003C716D" w:rsidP="003C716D">
      <w:pPr>
        <w:numPr>
          <w:ilvl w:val="0"/>
          <w:numId w:val="1"/>
        </w:numPr>
        <w:contextualSpacing/>
        <w:rPr>
          <w:ins w:id="87" w:author="John Dooley" w:date="2018-08-10T14:38:00Z"/>
          <w:rFonts w:eastAsia="Calibri"/>
          <w:sz w:val="20"/>
          <w:szCs w:val="20"/>
        </w:rPr>
      </w:pPr>
      <w:ins w:id="88" w:author="John Dooley" w:date="2018-08-10T14:38:00Z">
        <w:r>
          <w:rPr>
            <w:rFonts w:eastAsia="Calibri"/>
            <w:sz w:val="20"/>
            <w:szCs w:val="20"/>
          </w:rPr>
          <w:t>Figure 6.3.2-1:  Spectrogram of 2.4 GHz Band Spanning 2400 MHz to 2495 MHz (London, UK)</w:t>
        </w:r>
      </w:ins>
    </w:p>
    <w:p w:rsidR="003C716D" w:rsidRPr="002C535D" w:rsidRDefault="003C716D" w:rsidP="003C716D">
      <w:pPr>
        <w:ind w:left="720"/>
        <w:contextualSpacing/>
        <w:rPr>
          <w:ins w:id="89" w:author="John Dooley" w:date="2018-08-10T14:38:00Z"/>
          <w:rFonts w:eastAsia="Calibri"/>
          <w:sz w:val="20"/>
          <w:szCs w:val="20"/>
        </w:rPr>
      </w:pPr>
    </w:p>
    <w:p w:rsidR="003C716D" w:rsidRDefault="003C716D" w:rsidP="003C716D">
      <w:pPr>
        <w:contextualSpacing/>
        <w:rPr>
          <w:ins w:id="90" w:author="John Dooley" w:date="2018-08-10T14:38:00Z"/>
          <w:rFonts w:eastAsia="Calibri"/>
          <w:sz w:val="20"/>
          <w:szCs w:val="20"/>
        </w:rPr>
      </w:pPr>
    </w:p>
    <w:p w:rsidR="003C716D" w:rsidRPr="00D245F9" w:rsidRDefault="003C716D" w:rsidP="003C716D">
      <w:pPr>
        <w:pStyle w:val="Heading2"/>
        <w:rPr>
          <w:ins w:id="91" w:author="John Dooley" w:date="2018-08-10T14:38:00Z"/>
        </w:rPr>
      </w:pPr>
      <w:ins w:id="92" w:author="John Dooley" w:date="2018-08-10T14:38:00Z">
        <w:r>
          <w:rPr>
            <w:lang w:val="en-US"/>
          </w:rPr>
          <w:t>6.4</w:t>
        </w:r>
        <w:r w:rsidRPr="00D245F9">
          <w:rPr>
            <w:lang w:val="en-US"/>
          </w:rPr>
          <w:tab/>
        </w:r>
        <w:r>
          <w:rPr>
            <w:lang w:val="en-US"/>
          </w:rPr>
          <w:t xml:space="preserve">Interference </w:t>
        </w:r>
        <w:r>
          <w:t>Testing and Analysis Conducted During the FCC Regulatory Process</w:t>
        </w:r>
      </w:ins>
    </w:p>
    <w:p w:rsidR="003C716D" w:rsidRPr="00776A81" w:rsidRDefault="003C716D" w:rsidP="003C716D">
      <w:pPr>
        <w:pStyle w:val="Heading2"/>
        <w:rPr>
          <w:ins w:id="93" w:author="John Dooley" w:date="2018-08-10T14:38:00Z"/>
          <w:sz w:val="24"/>
        </w:rPr>
      </w:pPr>
      <w:ins w:id="94" w:author="John Dooley" w:date="2018-08-10T14:38:00Z">
        <w:r>
          <w:rPr>
            <w:sz w:val="24"/>
            <w:lang w:val="en-US"/>
          </w:rPr>
          <w:t>6.4</w:t>
        </w:r>
        <w:r w:rsidRPr="00776A81">
          <w:rPr>
            <w:sz w:val="24"/>
            <w:lang w:val="en-US"/>
          </w:rPr>
          <w:t>.1</w:t>
        </w:r>
        <w:r w:rsidRPr="00776A81">
          <w:rPr>
            <w:sz w:val="24"/>
            <w:lang w:val="en-US"/>
          </w:rPr>
          <w:tab/>
        </w:r>
        <w:r>
          <w:rPr>
            <w:sz w:val="24"/>
          </w:rPr>
          <w:t>Introduction</w:t>
        </w:r>
      </w:ins>
    </w:p>
    <w:p w:rsidR="003C716D" w:rsidRDefault="003C716D" w:rsidP="003C716D">
      <w:pPr>
        <w:rPr>
          <w:ins w:id="95" w:author="John Dooley" w:date="2018-08-10T14:38:00Z"/>
          <w:rFonts w:eastAsia="Calibri"/>
          <w:sz w:val="20"/>
          <w:szCs w:val="20"/>
        </w:rPr>
      </w:pPr>
      <w:ins w:id="96" w:author="John Dooley" w:date="2018-08-10T14:38:00Z">
        <w:r>
          <w:rPr>
            <w:rFonts w:eastAsia="Calibri"/>
            <w:sz w:val="20"/>
            <w:szCs w:val="20"/>
          </w:rPr>
          <w:t>Following concerns by unlicensed interests that the originally proposed 2.4 GHz band plan spanning 2473 MHz to 2495 MHz (</w:t>
        </w:r>
        <w:r w:rsidRPr="00D95C1F">
          <w:rPr>
            <w:rFonts w:eastAsia="Calibri"/>
            <w:i/>
            <w:sz w:val="20"/>
            <w:szCs w:val="20"/>
          </w:rPr>
          <w:t>see</w:t>
        </w:r>
        <w:r>
          <w:rPr>
            <w:rFonts w:eastAsia="Calibri"/>
            <w:sz w:val="20"/>
            <w:szCs w:val="20"/>
          </w:rPr>
          <w:t xml:space="preserve"> Section 6.2.2) would cause significant harmful interference to Part 15 unlicensed 802.11 and Bluetooth operations, a number of technical filings were made into the official FCC record.  While these filings contained conflicting conclusions regarding the existence and severity of interference from the original proposal, they may be seen as compelling evolution to the ratified band plan, which pushed the service above 2483.5 MHz and integrated OOBE limitations for the protection of unlicensed services (</w:t>
        </w:r>
        <w:r w:rsidRPr="005F7917">
          <w:rPr>
            <w:rFonts w:eastAsia="Calibri"/>
            <w:i/>
            <w:sz w:val="20"/>
            <w:szCs w:val="20"/>
          </w:rPr>
          <w:t>see</w:t>
        </w:r>
        <w:r>
          <w:rPr>
            <w:rFonts w:eastAsia="Calibri"/>
            <w:sz w:val="20"/>
            <w:szCs w:val="20"/>
          </w:rPr>
          <w:t xml:space="preserve"> Section 6.2.4).</w:t>
        </w:r>
      </w:ins>
    </w:p>
    <w:p w:rsidR="003C716D" w:rsidRDefault="003C716D" w:rsidP="003C716D">
      <w:pPr>
        <w:rPr>
          <w:ins w:id="97" w:author="John Dooley" w:date="2018-08-10T14:38:00Z"/>
          <w:rFonts w:eastAsia="Calibri"/>
          <w:sz w:val="20"/>
          <w:szCs w:val="20"/>
        </w:rPr>
      </w:pPr>
    </w:p>
    <w:p w:rsidR="003C716D" w:rsidRPr="00776A81" w:rsidRDefault="003C716D" w:rsidP="003C716D">
      <w:pPr>
        <w:pStyle w:val="Heading2"/>
        <w:rPr>
          <w:ins w:id="98" w:author="John Dooley" w:date="2018-08-10T14:38:00Z"/>
          <w:sz w:val="24"/>
        </w:rPr>
      </w:pPr>
      <w:ins w:id="99" w:author="John Dooley" w:date="2018-08-10T14:38:00Z">
        <w:r>
          <w:rPr>
            <w:sz w:val="24"/>
            <w:lang w:val="en-US"/>
          </w:rPr>
          <w:t>6.4.2</w:t>
        </w:r>
        <w:r w:rsidRPr="00776A81">
          <w:rPr>
            <w:sz w:val="24"/>
            <w:lang w:val="en-US"/>
          </w:rPr>
          <w:tab/>
        </w:r>
        <w:r>
          <w:rPr>
            <w:sz w:val="24"/>
          </w:rPr>
          <w:t>Results of Testing and Analysis Conducted at FCC Technology Demonstration Center</w:t>
        </w:r>
      </w:ins>
    </w:p>
    <w:p w:rsidR="003C716D" w:rsidRDefault="003C716D" w:rsidP="003C716D">
      <w:pPr>
        <w:rPr>
          <w:ins w:id="100" w:author="John Dooley" w:date="2018-08-10T14:38:00Z"/>
          <w:rFonts w:eastAsia="Calibri"/>
          <w:sz w:val="20"/>
          <w:szCs w:val="20"/>
        </w:rPr>
      </w:pPr>
      <w:ins w:id="101" w:author="John Dooley" w:date="2018-08-10T14:38:00Z">
        <w:r>
          <w:rPr>
            <w:rFonts w:eastAsia="Calibri"/>
            <w:sz w:val="20"/>
            <w:szCs w:val="20"/>
          </w:rPr>
          <w:t>At the request of unlicensed interests, the FCC hosted and supervised multiple days of testing and demonstration at the Commission’s headquarters in Washington, DC.  The Bluetooth SIG, CableLabs, Globalstar, the National Cable Television Association (NCTA), and the Wi-Fi Alliance were participants.  These parties were asked to officially submit results of their analysis into the FCC record [10]</w:t>
        </w:r>
      </w:ins>
    </w:p>
    <w:p w:rsidR="003C716D" w:rsidRPr="003946F4" w:rsidRDefault="003C716D" w:rsidP="003C716D">
      <w:pPr>
        <w:rPr>
          <w:ins w:id="102" w:author="John Dooley" w:date="2018-08-10T14:38:00Z"/>
          <w:rFonts w:eastAsia="Calibri"/>
          <w:sz w:val="20"/>
          <w:szCs w:val="20"/>
        </w:rPr>
      </w:pPr>
      <w:ins w:id="103" w:author="John Dooley" w:date="2018-08-10T14:38:00Z">
        <w:r>
          <w:rPr>
            <w:rFonts w:eastAsia="Calibri"/>
            <w:sz w:val="20"/>
            <w:szCs w:val="20"/>
          </w:rPr>
          <w:lastRenderedPageBreak/>
          <w:t>Analysis of testing conducted at the FCC Technology Demonstration Center was submitted by the following parties:</w:t>
        </w:r>
        <w:r>
          <w:rPr>
            <w:rFonts w:eastAsia="Calibri"/>
            <w:sz w:val="20"/>
            <w:szCs w:val="20"/>
          </w:rPr>
          <w:br/>
        </w:r>
      </w:ins>
    </w:p>
    <w:p w:rsidR="003C716D" w:rsidRDefault="003C716D" w:rsidP="003C716D">
      <w:pPr>
        <w:pStyle w:val="ListParagraph"/>
        <w:numPr>
          <w:ilvl w:val="0"/>
          <w:numId w:val="6"/>
        </w:numPr>
        <w:rPr>
          <w:ins w:id="104" w:author="John Dooley" w:date="2018-08-10T14:38:00Z"/>
          <w:sz w:val="20"/>
          <w:szCs w:val="20"/>
        </w:rPr>
      </w:pPr>
      <w:ins w:id="105" w:author="John Dooley" w:date="2018-08-10T14:38:00Z">
        <w:r>
          <w:rPr>
            <w:b/>
            <w:sz w:val="20"/>
            <w:szCs w:val="20"/>
          </w:rPr>
          <w:t>Globalstar Analysis</w:t>
        </w:r>
        <w:r w:rsidRPr="002B213F">
          <w:rPr>
            <w:b/>
            <w:sz w:val="20"/>
            <w:szCs w:val="20"/>
          </w:rPr>
          <w:t>:</w:t>
        </w:r>
        <w:r>
          <w:rPr>
            <w:sz w:val="20"/>
            <w:szCs w:val="20"/>
          </w:rPr>
          <w:t xml:space="preserve">  Globalstar tested a number of 2.4 GHz 802.11 channel configurations with simultaneous operation of TLPS (2473 MHz – 2495 MHz) in the FCC technical demonstration center.  The official analysis reported to the FCC found no deleterious impact to either unlicensed 802.11 Wi-Fi operations or Bluetooth devices [11].</w:t>
        </w:r>
      </w:ins>
    </w:p>
    <w:p w:rsidR="003C716D" w:rsidRPr="003F74C8" w:rsidRDefault="003C716D" w:rsidP="003C716D">
      <w:pPr>
        <w:rPr>
          <w:ins w:id="106" w:author="John Dooley" w:date="2018-08-10T14:38:00Z"/>
        </w:rPr>
      </w:pPr>
    </w:p>
    <w:p w:rsidR="003C716D" w:rsidRDefault="003C716D" w:rsidP="003C716D">
      <w:pPr>
        <w:pStyle w:val="ListParagraph"/>
        <w:numPr>
          <w:ilvl w:val="0"/>
          <w:numId w:val="6"/>
        </w:numPr>
        <w:rPr>
          <w:ins w:id="107" w:author="John Dooley" w:date="2018-08-10T14:38:00Z"/>
          <w:sz w:val="20"/>
          <w:szCs w:val="20"/>
        </w:rPr>
      </w:pPr>
      <w:ins w:id="108" w:author="John Dooley" w:date="2018-08-10T14:38:00Z">
        <w:r>
          <w:rPr>
            <w:b/>
            <w:sz w:val="20"/>
            <w:szCs w:val="20"/>
          </w:rPr>
          <w:t>Bluetooth SIG Analysis</w:t>
        </w:r>
        <w:r w:rsidRPr="002B213F">
          <w:rPr>
            <w:b/>
            <w:sz w:val="20"/>
            <w:szCs w:val="20"/>
          </w:rPr>
          <w:t>:</w:t>
        </w:r>
        <w:r>
          <w:rPr>
            <w:sz w:val="20"/>
            <w:szCs w:val="20"/>
          </w:rPr>
          <w:t xml:space="preserve">  Bluetooth SIG and related Bluetooth interests tested operation of Bluetooth hearing aids and experimental Bluetooth lighting devices with simultaneous operation of TLPS (2473 MHz – 2495 MHz) and other unlicensed 802.11 channels (Channels 1, 6, and 11).  The official analysis reported to the FCC found an increase in packet loss and a small, though statistically significant, increase in audio discontinuities experienced by Bluetooth hearing aids [12].</w:t>
        </w:r>
      </w:ins>
    </w:p>
    <w:p w:rsidR="003C716D" w:rsidRPr="003F74C8" w:rsidRDefault="003C716D" w:rsidP="003C716D">
      <w:pPr>
        <w:rPr>
          <w:ins w:id="109" w:author="John Dooley" w:date="2018-08-10T14:38:00Z"/>
        </w:rPr>
      </w:pPr>
    </w:p>
    <w:p w:rsidR="003C716D" w:rsidRDefault="003C716D" w:rsidP="003C716D">
      <w:pPr>
        <w:pStyle w:val="ListParagraph"/>
        <w:numPr>
          <w:ilvl w:val="0"/>
          <w:numId w:val="6"/>
        </w:numPr>
        <w:rPr>
          <w:ins w:id="110" w:author="John Dooley" w:date="2018-08-10T14:38:00Z"/>
          <w:sz w:val="20"/>
          <w:szCs w:val="20"/>
        </w:rPr>
      </w:pPr>
      <w:ins w:id="111" w:author="John Dooley" w:date="2018-08-10T14:38:00Z">
        <w:r>
          <w:rPr>
            <w:b/>
            <w:sz w:val="20"/>
            <w:szCs w:val="20"/>
          </w:rPr>
          <w:t>CableLabs Analysis</w:t>
        </w:r>
        <w:r w:rsidRPr="002B213F">
          <w:rPr>
            <w:b/>
            <w:sz w:val="20"/>
            <w:szCs w:val="20"/>
          </w:rPr>
          <w:t>:</w:t>
        </w:r>
        <w:r>
          <w:rPr>
            <w:sz w:val="20"/>
            <w:szCs w:val="20"/>
          </w:rPr>
          <w:t xml:space="preserve">  CableLabs tested a series of consumer and enterprise Wi-Fi devices utilizing 802.11 Channel 11 in very close proximity to simultaneously operating access points on other 802.11 channels and TLPS (2473 MHz – 2495 MHz).  The official analysis reported to the FCC found inconsistent and counterintuitive impact to Channel 11 under the application of interference from various combinations of unlicensed 802.11 channels and TLPS [13].</w:t>
        </w:r>
      </w:ins>
    </w:p>
    <w:p w:rsidR="003C716D" w:rsidRPr="003946F4" w:rsidRDefault="003C716D" w:rsidP="003C716D">
      <w:pPr>
        <w:pStyle w:val="ListParagraph"/>
        <w:ind w:left="720" w:firstLine="0"/>
        <w:rPr>
          <w:ins w:id="112" w:author="John Dooley" w:date="2018-08-10T14:38:00Z"/>
          <w:sz w:val="20"/>
          <w:szCs w:val="20"/>
        </w:rPr>
      </w:pPr>
    </w:p>
    <w:p w:rsidR="003C716D" w:rsidRPr="001911E4" w:rsidRDefault="003C716D" w:rsidP="003C716D">
      <w:pPr>
        <w:pStyle w:val="ListParagraph"/>
        <w:numPr>
          <w:ilvl w:val="0"/>
          <w:numId w:val="6"/>
        </w:numPr>
        <w:rPr>
          <w:ins w:id="113" w:author="John Dooley" w:date="2018-08-10T14:38:00Z"/>
          <w:sz w:val="20"/>
          <w:szCs w:val="20"/>
        </w:rPr>
      </w:pPr>
      <w:ins w:id="114" w:author="John Dooley" w:date="2018-08-10T14:38:00Z">
        <w:r>
          <w:rPr>
            <w:b/>
            <w:sz w:val="20"/>
            <w:szCs w:val="20"/>
          </w:rPr>
          <w:t>FCC Report of Device Evaluation</w:t>
        </w:r>
        <w:r w:rsidRPr="002B213F">
          <w:rPr>
            <w:b/>
            <w:sz w:val="20"/>
            <w:szCs w:val="20"/>
          </w:rPr>
          <w:t>:</w:t>
        </w:r>
        <w:r>
          <w:rPr>
            <w:sz w:val="20"/>
            <w:szCs w:val="20"/>
          </w:rPr>
          <w:t xml:space="preserve">  Following the FCC moderated testing and demonstration, unlicensed interests expressed concern that the TLPS (2473 MHz – 2495 MHz) access points provided by Globalstar were specially modified to reduce their interference impact to unlicensed devices.  The FCC retained and conducted detailed laboratory testing on the supplied devices, which confirmed they had not been modified to reduce their interference impact.  The official FCC device evaluation founds that the spectral mask of TLPS access points was consistent with an unfiltered 802.11 emission [14].</w:t>
        </w:r>
      </w:ins>
    </w:p>
    <w:p w:rsidR="003C716D" w:rsidRDefault="003C716D" w:rsidP="003C716D">
      <w:pPr>
        <w:rPr>
          <w:ins w:id="115" w:author="John Dooley" w:date="2018-08-10T14:38:00Z"/>
          <w:rFonts w:eastAsia="Calibri"/>
          <w:sz w:val="20"/>
          <w:szCs w:val="20"/>
        </w:rPr>
      </w:pPr>
    </w:p>
    <w:p w:rsidR="003C716D" w:rsidRPr="00776A81" w:rsidRDefault="003C716D" w:rsidP="003C716D">
      <w:pPr>
        <w:pStyle w:val="Heading2"/>
        <w:rPr>
          <w:ins w:id="116" w:author="John Dooley" w:date="2018-08-10T14:38:00Z"/>
          <w:sz w:val="24"/>
        </w:rPr>
      </w:pPr>
      <w:ins w:id="117" w:author="John Dooley" w:date="2018-08-10T14:38:00Z">
        <w:r>
          <w:rPr>
            <w:sz w:val="24"/>
            <w:lang w:val="en-US"/>
          </w:rPr>
          <w:t>6.4.3</w:t>
        </w:r>
        <w:r w:rsidRPr="00776A81">
          <w:rPr>
            <w:sz w:val="24"/>
            <w:lang w:val="en-US"/>
          </w:rPr>
          <w:tab/>
        </w:r>
        <w:r>
          <w:rPr>
            <w:sz w:val="24"/>
          </w:rPr>
          <w:t>Other Testing and Analysis Submitted into the FCC Record</w:t>
        </w:r>
      </w:ins>
    </w:p>
    <w:p w:rsidR="003C716D" w:rsidRDefault="003C716D" w:rsidP="003C716D">
      <w:pPr>
        <w:rPr>
          <w:ins w:id="118" w:author="John Dooley" w:date="2018-08-10T14:38:00Z"/>
          <w:rFonts w:eastAsia="Calibri"/>
          <w:sz w:val="20"/>
          <w:szCs w:val="20"/>
        </w:rPr>
      </w:pPr>
      <w:ins w:id="119" w:author="John Dooley" w:date="2018-08-10T14:38:00Z">
        <w:r>
          <w:rPr>
            <w:rFonts w:eastAsia="Calibri"/>
            <w:sz w:val="20"/>
            <w:szCs w:val="20"/>
          </w:rPr>
          <w:t>Outside of the FCC administered testing and demonstration event, the only other analysis submitted into the FCC record came from Microsoft.  This testing centered on concerns that Bluetooth remotes for certain Xbox gaming consoles would suffer interference.  Globalstar submitted analysis of its own testing to in response to the Microsoft filing.</w:t>
        </w:r>
      </w:ins>
    </w:p>
    <w:p w:rsidR="003C716D" w:rsidRDefault="003C716D" w:rsidP="003C716D">
      <w:pPr>
        <w:rPr>
          <w:ins w:id="120" w:author="John Dooley" w:date="2018-08-10T14:38:00Z"/>
          <w:rFonts w:eastAsia="Calibri"/>
          <w:sz w:val="20"/>
          <w:szCs w:val="20"/>
        </w:rPr>
      </w:pPr>
    </w:p>
    <w:p w:rsidR="003C716D" w:rsidRDefault="003C716D" w:rsidP="003C716D">
      <w:pPr>
        <w:pStyle w:val="ListParagraph"/>
        <w:numPr>
          <w:ilvl w:val="0"/>
          <w:numId w:val="8"/>
        </w:numPr>
        <w:rPr>
          <w:ins w:id="121" w:author="John Dooley" w:date="2018-08-10T14:38:00Z"/>
          <w:sz w:val="20"/>
          <w:szCs w:val="20"/>
        </w:rPr>
      </w:pPr>
      <w:ins w:id="122" w:author="John Dooley" w:date="2018-08-10T14:38:00Z">
        <w:r>
          <w:rPr>
            <w:b/>
            <w:sz w:val="20"/>
            <w:szCs w:val="20"/>
          </w:rPr>
          <w:t>Microsoft Analysis</w:t>
        </w:r>
        <w:r w:rsidRPr="002B213F">
          <w:rPr>
            <w:b/>
            <w:sz w:val="20"/>
            <w:szCs w:val="20"/>
          </w:rPr>
          <w:t>:</w:t>
        </w:r>
        <w:r>
          <w:rPr>
            <w:sz w:val="20"/>
            <w:szCs w:val="20"/>
          </w:rPr>
          <w:t xml:space="preserve">  Microsoft expressed concern that TLPS (2473 MHz – 2495 MHz) operation in close proximity to previous generation Xbox gaming systems could impact Bluetooth remote controls by causing some percentage of button pushing (e.g. that used to control firing game weapons or other high frequency button pushing functions) to be lost [15]. </w:t>
        </w:r>
      </w:ins>
    </w:p>
    <w:p w:rsidR="003C716D" w:rsidRPr="0043235C" w:rsidRDefault="003C716D" w:rsidP="003C716D">
      <w:pPr>
        <w:rPr>
          <w:ins w:id="123" w:author="John Dooley" w:date="2018-08-10T14:38:00Z"/>
          <w:rFonts w:eastAsia="Calibri"/>
          <w:sz w:val="20"/>
          <w:szCs w:val="20"/>
        </w:rPr>
      </w:pPr>
    </w:p>
    <w:p w:rsidR="003C716D" w:rsidRDefault="003C716D" w:rsidP="003C716D">
      <w:pPr>
        <w:pStyle w:val="ListParagraph"/>
        <w:numPr>
          <w:ilvl w:val="0"/>
          <w:numId w:val="8"/>
        </w:numPr>
        <w:rPr>
          <w:ins w:id="124" w:author="John Dooley" w:date="2018-08-10T14:38:00Z"/>
          <w:sz w:val="20"/>
          <w:szCs w:val="20"/>
        </w:rPr>
      </w:pPr>
      <w:ins w:id="125" w:author="John Dooley" w:date="2018-08-10T14:38:00Z">
        <w:r>
          <w:rPr>
            <w:b/>
            <w:sz w:val="20"/>
            <w:szCs w:val="20"/>
          </w:rPr>
          <w:t>Globalstar Analysis</w:t>
        </w:r>
        <w:r w:rsidRPr="002B213F">
          <w:rPr>
            <w:b/>
            <w:sz w:val="20"/>
            <w:szCs w:val="20"/>
          </w:rPr>
          <w:t>:</w:t>
        </w:r>
        <w:r>
          <w:rPr>
            <w:sz w:val="20"/>
            <w:szCs w:val="20"/>
          </w:rPr>
          <w:t xml:space="preserve">  Globalstar conducted a similar laboratory study of TLPS (2472 MHz – 2495 MHz) operation in close proximity to an Xbox gaming system. This study did not find any impact by TLPS to the Bluetooth operation of Xbox remote controls and cited methodological errors in the Microsoft analysis [16].</w:t>
        </w:r>
      </w:ins>
    </w:p>
    <w:p w:rsidR="003C716D" w:rsidRDefault="003C716D" w:rsidP="003C716D">
      <w:pPr>
        <w:rPr>
          <w:ins w:id="126" w:author="John Dooley" w:date="2018-08-10T14:38:00Z"/>
          <w:sz w:val="20"/>
          <w:szCs w:val="20"/>
          <w:lang w:bidi="en-US"/>
        </w:rPr>
      </w:pPr>
    </w:p>
    <w:p w:rsidR="003C716D" w:rsidRDefault="003C716D" w:rsidP="003C716D">
      <w:pPr>
        <w:rPr>
          <w:ins w:id="127" w:author="John Dooley" w:date="2018-08-10T14:38:00Z"/>
          <w:sz w:val="20"/>
          <w:szCs w:val="20"/>
          <w:lang w:bidi="en-US"/>
        </w:rPr>
      </w:pPr>
    </w:p>
    <w:p w:rsidR="003C716D" w:rsidRDefault="003C716D" w:rsidP="003C716D">
      <w:pPr>
        <w:pStyle w:val="Heading2"/>
        <w:rPr>
          <w:ins w:id="128" w:author="John Dooley" w:date="2018-08-10T14:38:00Z"/>
        </w:rPr>
      </w:pPr>
      <w:ins w:id="129" w:author="John Dooley" w:date="2018-08-10T14:38:00Z">
        <w:r>
          <w:rPr>
            <w:lang w:val="en-US"/>
          </w:rPr>
          <w:t>6.5</w:t>
        </w:r>
        <w:r w:rsidRPr="00D245F9">
          <w:rPr>
            <w:lang w:val="en-US"/>
          </w:rPr>
          <w:tab/>
        </w:r>
        <w:r>
          <w:rPr>
            <w:lang w:val="en-US"/>
          </w:rPr>
          <w:t xml:space="preserve">FCC Creation and Justification of </w:t>
        </w:r>
        <w:r>
          <w:t>Special Emissions and Operations Rules to Protect Unlicensed Band</w:t>
        </w:r>
      </w:ins>
    </w:p>
    <w:p w:rsidR="003C716D" w:rsidRPr="004C4824" w:rsidRDefault="003C716D" w:rsidP="003C716D">
      <w:pPr>
        <w:pStyle w:val="Heading2"/>
        <w:rPr>
          <w:ins w:id="130" w:author="John Dooley" w:date="2018-08-10T14:38:00Z"/>
          <w:sz w:val="24"/>
        </w:rPr>
      </w:pPr>
      <w:ins w:id="131" w:author="John Dooley" w:date="2018-08-10T14:38:00Z">
        <w:r>
          <w:rPr>
            <w:sz w:val="24"/>
            <w:lang w:val="en-US"/>
          </w:rPr>
          <w:t>6.5</w:t>
        </w:r>
        <w:r w:rsidRPr="00776A81">
          <w:rPr>
            <w:sz w:val="24"/>
            <w:lang w:val="en-US"/>
          </w:rPr>
          <w:t>.1</w:t>
        </w:r>
        <w:r w:rsidRPr="00776A81">
          <w:rPr>
            <w:sz w:val="24"/>
            <w:lang w:val="en-US"/>
          </w:rPr>
          <w:tab/>
        </w:r>
        <w:r>
          <w:rPr>
            <w:sz w:val="24"/>
          </w:rPr>
          <w:t>Introduction</w:t>
        </w:r>
      </w:ins>
    </w:p>
    <w:p w:rsidR="003C716D" w:rsidRDefault="003C716D" w:rsidP="003C716D">
      <w:pPr>
        <w:rPr>
          <w:ins w:id="132" w:author="John Dooley" w:date="2018-08-10T14:38:00Z"/>
          <w:sz w:val="20"/>
          <w:szCs w:val="20"/>
        </w:rPr>
      </w:pPr>
      <w:ins w:id="133" w:author="John Dooley" w:date="2018-08-10T14:38:00Z">
        <w:r>
          <w:rPr>
            <w:sz w:val="20"/>
            <w:szCs w:val="20"/>
          </w:rPr>
          <w:t xml:space="preserve">Conventional </w:t>
        </w:r>
        <w:r w:rsidRPr="002C535D">
          <w:rPr>
            <w:sz w:val="20"/>
            <w:szCs w:val="20"/>
          </w:rPr>
          <w:t>Part 15 unlicensed operations in the 2400 MHz to 2483.5 MHz band are subject to the conditions that no harmful interference is caused, and that interference must be accepted that may be caused by the operation of a</w:t>
        </w:r>
        <w:r>
          <w:rPr>
            <w:sz w:val="20"/>
            <w:szCs w:val="20"/>
          </w:rPr>
          <w:t xml:space="preserve">n authorized radio station.  </w:t>
        </w:r>
        <w:r w:rsidRPr="002C535D">
          <w:rPr>
            <w:sz w:val="20"/>
            <w:szCs w:val="20"/>
          </w:rPr>
          <w:t>The operator of a Part 15 unlicensed radio frequency device is required to cease operating the device upon notification by an FCC representative that the device is causing harmful interference.</w:t>
        </w:r>
        <w:r>
          <w:rPr>
            <w:sz w:val="20"/>
            <w:szCs w:val="20"/>
          </w:rPr>
          <w:t xml:space="preserve">  </w:t>
        </w:r>
        <w:r w:rsidRPr="002C535D">
          <w:rPr>
            <w:sz w:val="20"/>
            <w:szCs w:val="20"/>
          </w:rPr>
          <w:t>Radiated out of band emissions from Part 15 unlicensed operation across 2400 to 2483.5 are limited to 500 microvolts/meter at a measurement distance o</w:t>
        </w:r>
        <w:r>
          <w:rPr>
            <w:sz w:val="20"/>
            <w:szCs w:val="20"/>
          </w:rPr>
          <w:t>f 3 meters.</w:t>
        </w:r>
      </w:ins>
    </w:p>
    <w:p w:rsidR="003C716D" w:rsidRDefault="003C716D" w:rsidP="003C716D">
      <w:pPr>
        <w:rPr>
          <w:ins w:id="134" w:author="John Dooley" w:date="2018-08-10T14:38:00Z"/>
          <w:sz w:val="20"/>
          <w:szCs w:val="20"/>
        </w:rPr>
      </w:pPr>
    </w:p>
    <w:p w:rsidR="003C716D" w:rsidRDefault="003C716D" w:rsidP="003C716D">
      <w:pPr>
        <w:rPr>
          <w:ins w:id="135" w:author="John Dooley" w:date="2018-08-10T14:38:00Z"/>
          <w:sz w:val="20"/>
          <w:szCs w:val="20"/>
        </w:rPr>
      </w:pPr>
      <w:ins w:id="136" w:author="John Dooley" w:date="2018-08-10T14:38:00Z">
        <w:r>
          <w:rPr>
            <w:sz w:val="20"/>
            <w:szCs w:val="20"/>
          </w:rPr>
          <w:t>In authorizing the 2.4 GHz Terrestrial Band, FCC regulations were adapted to ensure co-existence between licensed services in the band above 2483.5 MHz and unlicensed services in the band below 2483.5 MHz.  This unusual departure from conventional treatment of Part 15 services was motivated by the ubiquity and importance of unlicensed 802.11 Wi-Fi and Bluetooth operations.  To protect Wi-Fi and Bluetooth services, special operating rules and conditions were integrated into Part 27 rules.  Summaries of key protective rules are listed below.</w:t>
        </w:r>
      </w:ins>
    </w:p>
    <w:p w:rsidR="003C716D" w:rsidRPr="003F74C8" w:rsidRDefault="003C716D" w:rsidP="003C716D">
      <w:pPr>
        <w:rPr>
          <w:ins w:id="137" w:author="John Dooley" w:date="2018-08-10T14:38:00Z"/>
        </w:rPr>
      </w:pPr>
    </w:p>
    <w:p w:rsidR="003C716D" w:rsidRDefault="003C716D" w:rsidP="003C716D">
      <w:pPr>
        <w:pStyle w:val="ListParagraph"/>
        <w:numPr>
          <w:ilvl w:val="0"/>
          <w:numId w:val="8"/>
        </w:numPr>
        <w:rPr>
          <w:ins w:id="138" w:author="John Dooley" w:date="2018-08-10T14:38:00Z"/>
          <w:sz w:val="20"/>
          <w:szCs w:val="20"/>
        </w:rPr>
      </w:pPr>
      <w:ins w:id="139" w:author="John Dooley" w:date="2018-08-10T14:38:00Z">
        <w:r w:rsidRPr="002B213F">
          <w:rPr>
            <w:b/>
            <w:sz w:val="20"/>
            <w:szCs w:val="20"/>
          </w:rPr>
          <w:t>Frequency Limits:</w:t>
        </w:r>
        <w:r>
          <w:rPr>
            <w:sz w:val="20"/>
            <w:szCs w:val="20"/>
          </w:rPr>
          <w:t xml:space="preserve">  Commercial operations are limited solely to licensed spectrum above 2483.5 MHz, and Part 25 licensed spectrum above 2483.5 MHz may not be bonded with Part 15 unlicensed spectrum below 2483.5 MHz.</w:t>
        </w:r>
      </w:ins>
    </w:p>
    <w:p w:rsidR="003C716D" w:rsidRPr="003F74C8" w:rsidRDefault="003C716D" w:rsidP="003C716D">
      <w:pPr>
        <w:rPr>
          <w:ins w:id="140" w:author="John Dooley" w:date="2018-08-10T14:38:00Z"/>
        </w:rPr>
      </w:pPr>
    </w:p>
    <w:p w:rsidR="003C716D" w:rsidRDefault="003C716D" w:rsidP="003C716D">
      <w:pPr>
        <w:pStyle w:val="ListParagraph"/>
        <w:numPr>
          <w:ilvl w:val="0"/>
          <w:numId w:val="8"/>
        </w:numPr>
        <w:rPr>
          <w:ins w:id="141" w:author="John Dooley" w:date="2018-08-10T14:38:00Z"/>
          <w:sz w:val="20"/>
          <w:szCs w:val="20"/>
        </w:rPr>
      </w:pPr>
      <w:ins w:id="142" w:author="John Dooley" w:date="2018-08-10T14:38:00Z">
        <w:r w:rsidRPr="002B213F">
          <w:rPr>
            <w:b/>
            <w:sz w:val="20"/>
            <w:szCs w:val="20"/>
          </w:rPr>
          <w:t>Power Limits:</w:t>
        </w:r>
        <w:r>
          <w:rPr>
            <w:sz w:val="20"/>
            <w:szCs w:val="20"/>
          </w:rPr>
          <w:t xml:space="preserve">  Power limits are identical to those in the unlicensed band with maximum permitted conducted power of 1 W (30 dBm) and EIRP of 6 dBW (36 dBm).</w:t>
        </w:r>
      </w:ins>
    </w:p>
    <w:p w:rsidR="003C716D" w:rsidRPr="003F74C8" w:rsidRDefault="003C716D" w:rsidP="003C716D">
      <w:pPr>
        <w:rPr>
          <w:ins w:id="143" w:author="John Dooley" w:date="2018-08-10T14:38:00Z"/>
        </w:rPr>
      </w:pPr>
    </w:p>
    <w:p w:rsidR="003C716D" w:rsidRDefault="003C716D" w:rsidP="003C716D">
      <w:pPr>
        <w:pStyle w:val="ListParagraph"/>
        <w:numPr>
          <w:ilvl w:val="0"/>
          <w:numId w:val="8"/>
        </w:numPr>
        <w:rPr>
          <w:ins w:id="144" w:author="John Dooley" w:date="2018-08-10T14:38:00Z"/>
          <w:sz w:val="20"/>
          <w:szCs w:val="20"/>
        </w:rPr>
      </w:pPr>
      <w:ins w:id="145" w:author="John Dooley" w:date="2018-08-10T14:38:00Z">
        <w:r w:rsidRPr="002B213F">
          <w:rPr>
            <w:b/>
            <w:sz w:val="20"/>
            <w:szCs w:val="20"/>
          </w:rPr>
          <w:t>Emissions Limits:</w:t>
        </w:r>
        <w:r>
          <w:rPr>
            <w:sz w:val="20"/>
            <w:szCs w:val="20"/>
          </w:rPr>
          <w:t xml:space="preserve">  For a 10 MHz channel (maximum effective channel width), emissions at must be attenuated by a factor of 40 + 10 log (P) dB (-10 dBm) at 2483.5, by a factor of 43 + 10 log (P) dB (-13 dBm) at 2478.5 MHz, and 55 + 10 log (P) dB at 2473.5 MHz (-25 dBm).</w:t>
        </w:r>
      </w:ins>
    </w:p>
    <w:p w:rsidR="003C716D" w:rsidRPr="003F74C8" w:rsidRDefault="003C716D" w:rsidP="003C716D">
      <w:pPr>
        <w:rPr>
          <w:ins w:id="146" w:author="John Dooley" w:date="2018-08-10T14:38:00Z"/>
        </w:rPr>
      </w:pPr>
      <w:ins w:id="147" w:author="John Dooley" w:date="2018-08-10T14:38:00Z">
        <w:r w:rsidRPr="001911E4">
          <w:rPr>
            <w:sz w:val="20"/>
            <w:szCs w:val="20"/>
          </w:rPr>
          <w:t xml:space="preserve"> </w:t>
        </w:r>
      </w:ins>
    </w:p>
    <w:p w:rsidR="003C716D" w:rsidRPr="001911E4" w:rsidRDefault="003C716D" w:rsidP="003C716D">
      <w:pPr>
        <w:pStyle w:val="ListParagraph"/>
        <w:numPr>
          <w:ilvl w:val="0"/>
          <w:numId w:val="8"/>
        </w:numPr>
        <w:rPr>
          <w:ins w:id="148" w:author="John Dooley" w:date="2018-08-10T14:38:00Z"/>
          <w:sz w:val="20"/>
          <w:szCs w:val="20"/>
        </w:rPr>
      </w:pPr>
      <w:ins w:id="149" w:author="John Dooley" w:date="2018-08-10T14:38:00Z">
        <w:r w:rsidRPr="002B213F">
          <w:rPr>
            <w:b/>
            <w:sz w:val="20"/>
            <w:szCs w:val="20"/>
          </w:rPr>
          <w:t>Network Operating System:</w:t>
        </w:r>
        <w:r>
          <w:rPr>
            <w:sz w:val="20"/>
            <w:szCs w:val="20"/>
          </w:rPr>
          <w:t xml:space="preserve">  Operations must be under the control of a Network Operating System (NOS).  The NOS will have the ability to resolve interference issues related to commercial operations of the 2.4 GHz licensed service.</w:t>
        </w:r>
      </w:ins>
    </w:p>
    <w:p w:rsidR="003C716D" w:rsidRDefault="003C716D" w:rsidP="003C716D">
      <w:pPr>
        <w:rPr>
          <w:ins w:id="150" w:author="John Dooley" w:date="2018-08-10T14:38:00Z"/>
          <w:sz w:val="20"/>
        </w:rPr>
      </w:pPr>
    </w:p>
    <w:p w:rsidR="003C716D" w:rsidRDefault="003C716D" w:rsidP="003C716D">
      <w:pPr>
        <w:rPr>
          <w:ins w:id="151" w:author="John Dooley" w:date="2018-08-10T14:38:00Z"/>
          <w:sz w:val="20"/>
        </w:rPr>
      </w:pPr>
    </w:p>
    <w:p w:rsidR="003C716D" w:rsidRPr="00776A81" w:rsidRDefault="003C716D" w:rsidP="003C716D">
      <w:pPr>
        <w:pStyle w:val="Heading2"/>
        <w:rPr>
          <w:ins w:id="152" w:author="John Dooley" w:date="2018-08-10T14:38:00Z"/>
          <w:sz w:val="24"/>
        </w:rPr>
      </w:pPr>
      <w:ins w:id="153" w:author="John Dooley" w:date="2018-08-10T14:38:00Z">
        <w:r>
          <w:rPr>
            <w:sz w:val="24"/>
            <w:lang w:val="en-US"/>
          </w:rPr>
          <w:t>6.5.2</w:t>
        </w:r>
        <w:r w:rsidRPr="00776A81">
          <w:rPr>
            <w:sz w:val="24"/>
            <w:lang w:val="en-US"/>
          </w:rPr>
          <w:tab/>
        </w:r>
        <w:r>
          <w:rPr>
            <w:sz w:val="24"/>
            <w:lang w:val="en-US"/>
          </w:rPr>
          <w:t xml:space="preserve">Frequency Limits and </w:t>
        </w:r>
        <w:r>
          <w:rPr>
            <w:sz w:val="24"/>
          </w:rPr>
          <w:t>Prohibition Against Bonding and Aggregation below 2483.5 MHz</w:t>
        </w:r>
      </w:ins>
    </w:p>
    <w:p w:rsidR="003C716D" w:rsidRDefault="003C716D" w:rsidP="003C716D">
      <w:pPr>
        <w:rPr>
          <w:ins w:id="154" w:author="John Dooley" w:date="2018-08-10T14:38:00Z"/>
          <w:sz w:val="20"/>
        </w:rPr>
      </w:pPr>
      <w:ins w:id="155" w:author="John Dooley" w:date="2018-08-10T14:38:00Z">
        <w:r>
          <w:rPr>
            <w:sz w:val="20"/>
          </w:rPr>
          <w:t>Frequency limits</w:t>
        </w:r>
        <w:r w:rsidRPr="002C535D">
          <w:rPr>
            <w:sz w:val="20"/>
          </w:rPr>
          <w:t xml:space="preserve"> for the 2.4 GHz band are governed by T</w:t>
        </w:r>
        <w:r>
          <w:rPr>
            <w:sz w:val="20"/>
          </w:rPr>
          <w:t xml:space="preserve">itle 47 of the CFR, Part 25.149.  Terrestrial operation is limited to the licensed band from 2483.5 MHz to 2495 MHz.  Bonding or aggregation with unlicensed services below 2483.5 MHz is prohibited by Title 47 of the CFR, Parts 15.205, 15.209, 15.247 and 15.249.  </w:t>
        </w:r>
      </w:ins>
    </w:p>
    <w:p w:rsidR="003C716D" w:rsidRDefault="003C716D" w:rsidP="003C716D">
      <w:pPr>
        <w:rPr>
          <w:ins w:id="156" w:author="John Dooley" w:date="2018-08-10T14:38:00Z"/>
          <w:sz w:val="20"/>
        </w:rPr>
      </w:pPr>
    </w:p>
    <w:p w:rsidR="003C716D" w:rsidRDefault="003C716D" w:rsidP="003C716D">
      <w:pPr>
        <w:rPr>
          <w:ins w:id="157" w:author="John Dooley" w:date="2018-08-10T14:38:00Z"/>
          <w:sz w:val="20"/>
        </w:rPr>
      </w:pPr>
      <w:ins w:id="158" w:author="John Dooley" w:date="2018-08-10T14:38:00Z">
        <w:r>
          <w:rPr>
            <w:sz w:val="20"/>
          </w:rPr>
          <w:t xml:space="preserve">Despite the explicit allocation of terrestrial rights from 2483.5 MHz to 2495 MHz and the imposition of strict OOBE limits at 2483.5 MHz, unlicensed interests remained concerned that the Part 25 licensed band could still be used in a manner that would approximate the originally proposed service, which spanned 2473 MHz to 2495 MHz.  </w:t>
        </w:r>
      </w:ins>
    </w:p>
    <w:p w:rsidR="003C716D" w:rsidRDefault="003C716D" w:rsidP="003C716D">
      <w:pPr>
        <w:rPr>
          <w:ins w:id="159" w:author="John Dooley" w:date="2018-08-10T14:38:00Z"/>
          <w:sz w:val="20"/>
        </w:rPr>
      </w:pPr>
    </w:p>
    <w:p w:rsidR="003C716D" w:rsidRDefault="003C716D" w:rsidP="003C716D">
      <w:pPr>
        <w:rPr>
          <w:ins w:id="160" w:author="John Dooley" w:date="2018-08-10T14:38:00Z"/>
          <w:sz w:val="20"/>
        </w:rPr>
      </w:pPr>
      <w:ins w:id="161" w:author="John Dooley" w:date="2018-08-10T14:38:00Z">
        <w:r>
          <w:rPr>
            <w:sz w:val="20"/>
          </w:rPr>
          <w:t>The FCC confirmed that this type of operation is not possible under existing Part 15 rules, and this limitation of operational frequency is further clarified by FCC Report and Order 16-181, Paragraph 32:</w:t>
        </w:r>
      </w:ins>
    </w:p>
    <w:p w:rsidR="003C716D" w:rsidRDefault="003C716D" w:rsidP="003C716D">
      <w:pPr>
        <w:contextualSpacing/>
        <w:rPr>
          <w:ins w:id="162" w:author="John Dooley" w:date="2018-08-10T14:38:00Z"/>
          <w:rFonts w:eastAsia="Calibri"/>
          <w:sz w:val="20"/>
          <w:szCs w:val="20"/>
        </w:rPr>
      </w:pPr>
    </w:p>
    <w:p w:rsidR="003C716D" w:rsidRPr="007B175D" w:rsidRDefault="003C716D" w:rsidP="003C716D">
      <w:pPr>
        <w:ind w:left="720"/>
        <w:contextualSpacing/>
        <w:rPr>
          <w:ins w:id="163" w:author="John Dooley" w:date="2018-08-10T14:38:00Z"/>
          <w:rFonts w:eastAsia="Calibri"/>
          <w:i/>
          <w:sz w:val="20"/>
          <w:szCs w:val="20"/>
        </w:rPr>
      </w:pPr>
      <w:ins w:id="164" w:author="John Dooley" w:date="2018-08-10T14:38:00Z">
        <w:r w:rsidRPr="007B175D">
          <w:rPr>
            <w:rFonts w:eastAsia="Calibri"/>
            <w:i/>
            <w:sz w:val="20"/>
            <w:szCs w:val="20"/>
          </w:rPr>
          <w:t>32. Continued applicability of Part 15 rules to unlicensed devices.  Following Globalstar’s revised proposal, Wi-Fi Alliance filed ex partes asking the Commission to ensure that any service provided by Globalstar would conform to Part 15 of the Commission’s rules as applicable to ensure that Globalstar not “bond” or “aggregate” ATC operations in its licensed MSS spectrum with operations in freq</w:t>
        </w:r>
        <w:r>
          <w:rPr>
            <w:rFonts w:eastAsia="Calibri"/>
            <w:i/>
            <w:sz w:val="20"/>
            <w:szCs w:val="20"/>
          </w:rPr>
          <w:t>uencies below 2483.5 MHz.</w:t>
        </w:r>
        <w:r w:rsidRPr="007B175D">
          <w:rPr>
            <w:rFonts w:eastAsia="Calibri"/>
            <w:i/>
            <w:sz w:val="20"/>
            <w:szCs w:val="20"/>
          </w:rPr>
          <w:t xml:space="preserve">  Wi-Fi Alliance proposes that the Commission adopt a rule specifically addressing the continue</w:t>
        </w:r>
        <w:r>
          <w:rPr>
            <w:rFonts w:eastAsia="Calibri"/>
            <w:i/>
            <w:sz w:val="20"/>
            <w:szCs w:val="20"/>
          </w:rPr>
          <w:t xml:space="preserve">d applicability of Part 15. </w:t>
        </w:r>
        <w:r w:rsidRPr="007B175D">
          <w:rPr>
            <w:rFonts w:eastAsia="Calibri"/>
            <w:i/>
            <w:sz w:val="20"/>
            <w:szCs w:val="20"/>
          </w:rPr>
          <w:t>Gl</w:t>
        </w:r>
        <w:r>
          <w:rPr>
            <w:rFonts w:eastAsia="Calibri"/>
            <w:i/>
            <w:sz w:val="20"/>
            <w:szCs w:val="20"/>
          </w:rPr>
          <w:t xml:space="preserve">obalstar, NCTA, and ESA agree. </w:t>
        </w:r>
        <w:r w:rsidRPr="007B175D">
          <w:rPr>
            <w:rFonts w:eastAsia="Calibri"/>
            <w:i/>
            <w:sz w:val="20"/>
            <w:szCs w:val="20"/>
          </w:rPr>
          <w:t xml:space="preserve"> We recognize the concern raised by Wi-Fi Alliance and take the opportunity in this Order to confirm the continued applicability of Part 15 of the Commission’s rules to operations of unlicensed devices in the 2400-2483.5 MHz band, including Sections 15.205</w:t>
        </w:r>
        <w:r>
          <w:rPr>
            <w:rFonts w:eastAsia="Calibri"/>
            <w:i/>
            <w:sz w:val="20"/>
            <w:szCs w:val="20"/>
          </w:rPr>
          <w:t>, 15.209, 15.247, and 15.249.</w:t>
        </w:r>
        <w:r w:rsidRPr="007B175D">
          <w:rPr>
            <w:rFonts w:eastAsia="Calibri"/>
            <w:i/>
            <w:sz w:val="20"/>
            <w:szCs w:val="20"/>
          </w:rPr>
          <w:t xml:space="preserve"> We also confirm, as Globalstar’s proposed rule text suggests, that a licensee or operator of a terrestrial low-power system in the 2483.5-2495 MHz band may not consent to receive transmissions above 2483.5 MHz from equipment in unlicensed spectrum at 2400-2483.5 MHz in excess of the emissions otherwise permitted under Sections 15.205, 15.209, and 15.2</w:t>
        </w:r>
        <w:r>
          <w:rPr>
            <w:rFonts w:eastAsia="Calibri"/>
            <w:i/>
            <w:sz w:val="20"/>
            <w:szCs w:val="20"/>
          </w:rPr>
          <w:t>49 of the Commission’s rules.</w:t>
        </w:r>
        <w:r w:rsidRPr="007B175D">
          <w:rPr>
            <w:rFonts w:eastAsia="Calibri"/>
            <w:i/>
            <w:sz w:val="20"/>
            <w:szCs w:val="20"/>
          </w:rPr>
          <w:t xml:space="preserve">  In the interest of not adopting repetitive rules, however, we decline to adopt the specific text proposed in the form of an additional rule in Part 25. Instead, we refer here to the existing Part 15 rules that will be applicable to any unlicensed equipment operating in the 2400-2483.5 MHz band, regardless of an</w:t>
        </w:r>
        <w:r>
          <w:rPr>
            <w:rFonts w:eastAsia="Calibri"/>
            <w:i/>
            <w:sz w:val="20"/>
            <w:szCs w:val="20"/>
          </w:rPr>
          <w:t>y agreements to the contrary.</w:t>
        </w:r>
        <w:r w:rsidRPr="007B175D">
          <w:rPr>
            <w:rFonts w:eastAsia="Calibri"/>
            <w:i/>
            <w:sz w:val="20"/>
            <w:szCs w:val="20"/>
          </w:rPr>
          <w:t xml:space="preserve">  We believe the Part 15 provisions will ensure that Globalstar does not “bond” or “aggregate” its spectrum in frequencies below 2483.5 GHz in a way that could harm the operation of Wi-Fi or other unlicensed</w:t>
        </w:r>
        <w:r>
          <w:rPr>
            <w:rFonts w:eastAsia="Calibri"/>
            <w:i/>
            <w:sz w:val="20"/>
            <w:szCs w:val="20"/>
          </w:rPr>
          <w:t xml:space="preserve"> services in that spectrum. </w:t>
        </w:r>
        <w:r w:rsidRPr="007B175D">
          <w:rPr>
            <w:rFonts w:eastAsia="Calibri"/>
            <w:i/>
            <w:sz w:val="20"/>
            <w:szCs w:val="20"/>
          </w:rPr>
          <w:t xml:space="preserve"> </w:t>
        </w:r>
      </w:ins>
    </w:p>
    <w:p w:rsidR="003C716D" w:rsidRDefault="003C716D" w:rsidP="003C716D">
      <w:pPr>
        <w:rPr>
          <w:ins w:id="165" w:author="John Dooley" w:date="2018-08-10T14:38:00Z"/>
          <w:sz w:val="20"/>
        </w:rPr>
      </w:pPr>
    </w:p>
    <w:p w:rsidR="003C716D" w:rsidRPr="004C4824" w:rsidRDefault="003C716D" w:rsidP="003C716D">
      <w:pPr>
        <w:pStyle w:val="Heading2"/>
        <w:rPr>
          <w:ins w:id="166" w:author="John Dooley" w:date="2018-08-10T14:38:00Z"/>
          <w:sz w:val="24"/>
        </w:rPr>
      </w:pPr>
      <w:ins w:id="167" w:author="John Dooley" w:date="2018-08-10T14:38:00Z">
        <w:r>
          <w:rPr>
            <w:sz w:val="24"/>
            <w:lang w:val="en-US"/>
          </w:rPr>
          <w:t>6.5.3</w:t>
        </w:r>
        <w:r w:rsidRPr="00776A81">
          <w:rPr>
            <w:sz w:val="24"/>
            <w:lang w:val="en-US"/>
          </w:rPr>
          <w:tab/>
        </w:r>
        <w:r>
          <w:rPr>
            <w:sz w:val="24"/>
          </w:rPr>
          <w:t>Power Limits for Operations Between 2483.5 MHz and 2495 MHz that Equal Levels for Part 15 Services Below 2483.5 MHz</w:t>
        </w:r>
      </w:ins>
    </w:p>
    <w:p w:rsidR="003C716D" w:rsidRPr="002C535D" w:rsidRDefault="003C716D" w:rsidP="003C716D">
      <w:pPr>
        <w:rPr>
          <w:ins w:id="168" w:author="John Dooley" w:date="2018-08-10T14:38:00Z"/>
          <w:sz w:val="20"/>
        </w:rPr>
      </w:pPr>
      <w:ins w:id="169" w:author="John Dooley" w:date="2018-08-10T14:38:00Z">
        <w:r w:rsidRPr="002C535D">
          <w:rPr>
            <w:sz w:val="20"/>
          </w:rPr>
          <w:t xml:space="preserve">Power limits for the 2.4 GHz </w:t>
        </w:r>
        <w:r>
          <w:rPr>
            <w:sz w:val="20"/>
          </w:rPr>
          <w:t>Terrestrial B</w:t>
        </w:r>
        <w:r w:rsidRPr="002C535D">
          <w:rPr>
            <w:sz w:val="20"/>
          </w:rPr>
          <w:t>and are governed by Title 47 of the CFR, Part 25.149(c)(4)(i)-(iv).  These power limits</w:t>
        </w:r>
        <w:r>
          <w:rPr>
            <w:sz w:val="20"/>
          </w:rPr>
          <w:t xml:space="preserve"> are identical to those found in Part 15 for unlicensed services authorized from 2400 MHz to 2483.5 MHz and they</w:t>
        </w:r>
        <w:r w:rsidRPr="002C535D">
          <w:rPr>
            <w:sz w:val="20"/>
          </w:rPr>
          <w:t xml:space="preserve"> do not distinguish between base station and user equipment.  The relevant rules for operational equipment are listed below:</w:t>
        </w:r>
      </w:ins>
    </w:p>
    <w:p w:rsidR="003C716D" w:rsidRDefault="003C716D" w:rsidP="003C716D">
      <w:pPr>
        <w:rPr>
          <w:ins w:id="170" w:author="John Dooley" w:date="2018-08-10T14:38:00Z"/>
          <w:i/>
          <w:sz w:val="20"/>
        </w:rPr>
      </w:pPr>
    </w:p>
    <w:p w:rsidR="003C716D" w:rsidRPr="00915E08" w:rsidRDefault="003C716D" w:rsidP="003C716D">
      <w:pPr>
        <w:ind w:left="720"/>
        <w:rPr>
          <w:ins w:id="171" w:author="John Dooley" w:date="2018-08-10T14:38:00Z"/>
          <w:i/>
          <w:sz w:val="20"/>
        </w:rPr>
      </w:pPr>
      <w:ins w:id="172" w:author="John Dooley" w:date="2018-08-10T14:38:00Z">
        <w:r w:rsidRPr="00915E08">
          <w:rPr>
            <w:i/>
            <w:sz w:val="20"/>
          </w:rPr>
          <w:t>(4) Applications for equipment authorization of terrestrial low-power system equipment that will operate in the 2483.5-2495 MHz band shall demonstrate the following:</w:t>
        </w:r>
      </w:ins>
    </w:p>
    <w:p w:rsidR="003C716D" w:rsidRPr="00915E08" w:rsidRDefault="003C716D" w:rsidP="003C716D">
      <w:pPr>
        <w:ind w:left="568" w:firstLine="284"/>
        <w:rPr>
          <w:ins w:id="173" w:author="John Dooley" w:date="2018-08-10T14:38:00Z"/>
          <w:i/>
          <w:sz w:val="20"/>
        </w:rPr>
      </w:pPr>
    </w:p>
    <w:p w:rsidR="003C716D" w:rsidRPr="00915E08" w:rsidRDefault="003C716D" w:rsidP="003C716D">
      <w:pPr>
        <w:ind w:firstLine="720"/>
        <w:rPr>
          <w:ins w:id="174" w:author="John Dooley" w:date="2018-08-10T14:38:00Z"/>
          <w:i/>
          <w:sz w:val="20"/>
        </w:rPr>
      </w:pPr>
      <w:ins w:id="175" w:author="John Dooley" w:date="2018-08-10T14:38:00Z">
        <w:r w:rsidRPr="00915E08">
          <w:rPr>
            <w:i/>
            <w:sz w:val="20"/>
          </w:rPr>
          <w:t>(i)</w:t>
        </w:r>
        <w:r w:rsidRPr="00915E08">
          <w:rPr>
            <w:i/>
            <w:sz w:val="20"/>
          </w:rPr>
          <w:tab/>
          <w:t>The transmitted signal is digitally modulated;</w:t>
        </w:r>
      </w:ins>
    </w:p>
    <w:p w:rsidR="003C716D" w:rsidRPr="00915E08" w:rsidRDefault="003C716D" w:rsidP="003C716D">
      <w:pPr>
        <w:ind w:left="568" w:firstLine="284"/>
        <w:rPr>
          <w:ins w:id="176" w:author="John Dooley" w:date="2018-08-10T14:38:00Z"/>
          <w:i/>
          <w:sz w:val="20"/>
        </w:rPr>
      </w:pPr>
    </w:p>
    <w:p w:rsidR="003C716D" w:rsidRPr="00915E08" w:rsidRDefault="003C716D" w:rsidP="003C716D">
      <w:pPr>
        <w:ind w:firstLine="720"/>
        <w:rPr>
          <w:ins w:id="177" w:author="John Dooley" w:date="2018-08-10T14:38:00Z"/>
          <w:i/>
          <w:sz w:val="20"/>
        </w:rPr>
      </w:pPr>
      <w:ins w:id="178" w:author="John Dooley" w:date="2018-08-10T14:38:00Z">
        <w:r w:rsidRPr="00915E08">
          <w:rPr>
            <w:i/>
            <w:sz w:val="20"/>
          </w:rPr>
          <w:t>(ii)</w:t>
        </w:r>
        <w:r w:rsidRPr="00915E08">
          <w:rPr>
            <w:i/>
            <w:sz w:val="20"/>
          </w:rPr>
          <w:tab/>
          <w:t>The 6 dB bandwidth is at least 500 kHz;</w:t>
        </w:r>
      </w:ins>
    </w:p>
    <w:p w:rsidR="003C716D" w:rsidRPr="00915E08" w:rsidRDefault="003C716D" w:rsidP="003C716D">
      <w:pPr>
        <w:ind w:left="852"/>
        <w:rPr>
          <w:ins w:id="179" w:author="John Dooley" w:date="2018-08-10T14:38:00Z"/>
          <w:i/>
          <w:sz w:val="20"/>
        </w:rPr>
      </w:pPr>
    </w:p>
    <w:p w:rsidR="003C716D" w:rsidRPr="00915E08" w:rsidRDefault="003C716D" w:rsidP="003C716D">
      <w:pPr>
        <w:ind w:firstLine="720"/>
        <w:rPr>
          <w:ins w:id="180" w:author="John Dooley" w:date="2018-08-10T14:38:00Z"/>
          <w:i/>
          <w:sz w:val="20"/>
        </w:rPr>
      </w:pPr>
      <w:ins w:id="181" w:author="John Dooley" w:date="2018-08-10T14:38:00Z">
        <w:r w:rsidRPr="00915E08">
          <w:rPr>
            <w:i/>
            <w:sz w:val="20"/>
          </w:rPr>
          <w:t xml:space="preserve">(iii) </w:t>
        </w:r>
        <w:r w:rsidRPr="00915E08">
          <w:rPr>
            <w:i/>
            <w:sz w:val="20"/>
          </w:rPr>
          <w:tab/>
          <w:t>The maximum transmit power is no more than 1 W with a peak EIRP of no more than 6 dBW;</w:t>
        </w:r>
      </w:ins>
    </w:p>
    <w:p w:rsidR="003C716D" w:rsidRPr="00915E08" w:rsidRDefault="003C716D" w:rsidP="003C716D">
      <w:pPr>
        <w:ind w:left="852"/>
        <w:rPr>
          <w:ins w:id="182" w:author="John Dooley" w:date="2018-08-10T14:38:00Z"/>
          <w:i/>
          <w:sz w:val="20"/>
        </w:rPr>
      </w:pPr>
    </w:p>
    <w:p w:rsidR="003C716D" w:rsidRPr="00915E08" w:rsidRDefault="003C716D" w:rsidP="003C716D">
      <w:pPr>
        <w:ind w:left="720"/>
        <w:rPr>
          <w:ins w:id="183" w:author="John Dooley" w:date="2018-08-10T14:38:00Z"/>
          <w:i/>
          <w:sz w:val="20"/>
        </w:rPr>
      </w:pPr>
      <w:ins w:id="184" w:author="John Dooley" w:date="2018-08-10T14:38:00Z">
        <w:r w:rsidRPr="00915E08">
          <w:rPr>
            <w:i/>
            <w:sz w:val="20"/>
          </w:rPr>
          <w:t xml:space="preserve">(iv) </w:t>
        </w:r>
        <w:r w:rsidRPr="00915E08">
          <w:rPr>
            <w:i/>
            <w:sz w:val="20"/>
          </w:rPr>
          <w:tab/>
          <w:t>The maximum power spectral density conducted to the antenna is not greater than 8 dBm in any 3 kHz band during any time interval of continuous transmission;</w:t>
        </w:r>
      </w:ins>
    </w:p>
    <w:p w:rsidR="003C716D" w:rsidRDefault="003C716D" w:rsidP="003C716D">
      <w:pPr>
        <w:rPr>
          <w:ins w:id="185" w:author="John Dooley" w:date="2018-08-10T14:38:00Z"/>
          <w:rFonts w:eastAsia="Calibri"/>
          <w:sz w:val="20"/>
          <w:szCs w:val="20"/>
        </w:rPr>
      </w:pPr>
    </w:p>
    <w:p w:rsidR="003C716D" w:rsidRDefault="003C716D" w:rsidP="003C716D">
      <w:pPr>
        <w:rPr>
          <w:ins w:id="186" w:author="John Dooley" w:date="2018-08-10T14:38:00Z"/>
          <w:sz w:val="20"/>
        </w:rPr>
      </w:pPr>
      <w:ins w:id="187" w:author="John Dooley" w:date="2018-08-10T14:38:00Z">
        <w:r>
          <w:rPr>
            <w:sz w:val="20"/>
          </w:rPr>
          <w:t>Power limits for the 2.4 GHz Terrestrial Band were justified in FCC Report and Order 16-181, Paragraph 22:</w:t>
        </w:r>
      </w:ins>
    </w:p>
    <w:p w:rsidR="003C716D" w:rsidRDefault="003C716D" w:rsidP="003C716D">
      <w:pPr>
        <w:rPr>
          <w:ins w:id="188" w:author="John Dooley" w:date="2018-08-10T14:38:00Z"/>
          <w:sz w:val="20"/>
        </w:rPr>
      </w:pPr>
    </w:p>
    <w:p w:rsidR="003C716D" w:rsidRPr="00F67173" w:rsidRDefault="003C716D" w:rsidP="003C716D">
      <w:pPr>
        <w:ind w:left="720"/>
        <w:rPr>
          <w:ins w:id="189" w:author="John Dooley" w:date="2018-08-10T14:38:00Z"/>
          <w:i/>
          <w:sz w:val="20"/>
        </w:rPr>
      </w:pPr>
      <w:ins w:id="190" w:author="John Dooley" w:date="2018-08-10T14:38:00Z">
        <w:r w:rsidRPr="00F67173">
          <w:rPr>
            <w:i/>
            <w:sz w:val="20"/>
          </w:rPr>
          <w:t>22. Total Transmit Power for terrestrial low-power equipment.  The NPRM proposed that the total transmit power for low-power ATC equipment operating in the 2483.5-2495 MHz band be codified under a new Section 25.149(c)(4) of the Commission’s rules.  The proposed total transmit power was not to exceed 1 watt with a peak equivalent isotropically radiated power (e.i.r.p.) of no more than 6 dBW (4 watts) with a minimum 6 dB bandwidth of 500 kilohertz and a maximum conducted power spectral density (PSD) limit of 8 dBm/3 kHz.  Globalstar continues to seek adoption of this revised limit as part of its proposal to operate in only the 2483.5-2495 MHz frequency band. Several commenters agree with the technical limits in the NPRM proposal, and no commenters disagreed.  Sprint states that adoption of these power limits would provide a reasonable environment for which Sprint can develop BRS base station and device receivers that will not experience brute force overload interference due to adjacent low-power terrestrial operations. We find that these limits are generally appropriate for devices operating in the Globalstar network in the 2483.5-2495 MHz band, and conclude that these limits on total transmit power should be adopted into a new provision of the Commission’s rules, Section 25.149(c)(4), as proposed in the NPRM.</w:t>
        </w:r>
      </w:ins>
    </w:p>
    <w:p w:rsidR="003C716D" w:rsidRDefault="003C716D" w:rsidP="003C716D">
      <w:pPr>
        <w:rPr>
          <w:ins w:id="191" w:author="John Dooley" w:date="2018-08-10T14:38:00Z"/>
          <w:sz w:val="20"/>
        </w:rPr>
      </w:pPr>
    </w:p>
    <w:p w:rsidR="003C716D" w:rsidRPr="00776A81" w:rsidRDefault="003C716D" w:rsidP="003C716D">
      <w:pPr>
        <w:pStyle w:val="Heading2"/>
        <w:rPr>
          <w:ins w:id="192" w:author="John Dooley" w:date="2018-08-10T14:38:00Z"/>
          <w:sz w:val="24"/>
        </w:rPr>
      </w:pPr>
      <w:ins w:id="193" w:author="John Dooley" w:date="2018-08-10T14:38:00Z">
        <w:r>
          <w:rPr>
            <w:sz w:val="24"/>
            <w:lang w:val="en-US"/>
          </w:rPr>
          <w:t>6.5.4</w:t>
        </w:r>
        <w:r w:rsidRPr="00776A81">
          <w:rPr>
            <w:sz w:val="24"/>
            <w:lang w:val="en-US"/>
          </w:rPr>
          <w:tab/>
        </w:r>
        <w:r>
          <w:rPr>
            <w:sz w:val="24"/>
          </w:rPr>
          <w:t>Emissions Limits Below 2483.5 MHz for Unlicensed Band Protection</w:t>
        </w:r>
      </w:ins>
    </w:p>
    <w:p w:rsidR="003C716D" w:rsidRDefault="003C716D" w:rsidP="003C716D">
      <w:pPr>
        <w:rPr>
          <w:ins w:id="194" w:author="John Dooley" w:date="2018-08-10T14:38:00Z"/>
          <w:sz w:val="20"/>
        </w:rPr>
      </w:pPr>
      <w:ins w:id="195" w:author="John Dooley" w:date="2018-08-10T14:38:00Z">
        <w:r>
          <w:rPr>
            <w:sz w:val="20"/>
          </w:rPr>
          <w:t xml:space="preserve">Emissions limits for the 2.4 GHz Terrestrial Band </w:t>
        </w:r>
        <w:r w:rsidRPr="002C535D">
          <w:rPr>
            <w:sz w:val="20"/>
          </w:rPr>
          <w:t>are governed by Title 47 of the CF</w:t>
        </w:r>
        <w:r>
          <w:rPr>
            <w:sz w:val="20"/>
          </w:rPr>
          <w:t xml:space="preserve">R, Part 25.149(c)(4)(v)-(vii).  Figure 6.5.4-1 is a graphical summary of emissions limits for the 2.4 GHz Terrestrial Band, assuming a 10 MHz emission bandwidth.  </w:t>
        </w:r>
      </w:ins>
    </w:p>
    <w:p w:rsidR="003C716D" w:rsidRDefault="003C716D" w:rsidP="003C716D">
      <w:pPr>
        <w:rPr>
          <w:ins w:id="196" w:author="John Dooley" w:date="2018-08-10T14:38:00Z"/>
          <w:sz w:val="20"/>
        </w:rPr>
      </w:pPr>
    </w:p>
    <w:p w:rsidR="003C716D" w:rsidRDefault="003C716D" w:rsidP="003C716D">
      <w:pPr>
        <w:rPr>
          <w:ins w:id="197" w:author="John Dooley" w:date="2018-08-10T14:38:00Z"/>
          <w:sz w:val="20"/>
        </w:rPr>
      </w:pPr>
    </w:p>
    <w:p w:rsidR="003C716D" w:rsidRPr="008B45C1" w:rsidRDefault="0046703F" w:rsidP="003C716D">
      <w:pPr>
        <w:rPr>
          <w:ins w:id="198" w:author="John Dooley" w:date="2018-08-10T14:38:00Z"/>
          <w:sz w:val="20"/>
          <w:szCs w:val="20"/>
        </w:rPr>
      </w:pPr>
      <w:ins w:id="199" w:author="John Dooley" w:date="2018-08-10T14:10:00Z">
        <w:r w:rsidRPr="00720B77">
          <w:rPr>
            <w:noProof/>
            <w:sz w:val="20"/>
            <w:szCs w:val="20"/>
          </w:rPr>
          <w:pict>
            <v:shape id="Picture 15" o:spid="_x0000_i1031" type="#_x0000_t75" alt="" style="width:479.35pt;height:157.35pt;visibility:visible;mso-width-percent:0;mso-height-percent:0;mso-width-percent:0;mso-height-percent:0">
              <v:imagedata r:id="rId18" o:title=""/>
            </v:shape>
          </w:pict>
        </w:r>
      </w:ins>
    </w:p>
    <w:p w:rsidR="003C716D" w:rsidRPr="008B45C1" w:rsidRDefault="003C716D" w:rsidP="003C716D">
      <w:pPr>
        <w:rPr>
          <w:ins w:id="200" w:author="John Dooley" w:date="2018-08-10T14:38:00Z"/>
          <w:sz w:val="20"/>
          <w:szCs w:val="20"/>
        </w:rPr>
      </w:pPr>
    </w:p>
    <w:p w:rsidR="003C716D" w:rsidRPr="007252DF" w:rsidRDefault="003C716D" w:rsidP="003C716D">
      <w:pPr>
        <w:numPr>
          <w:ilvl w:val="0"/>
          <w:numId w:val="1"/>
        </w:numPr>
        <w:contextualSpacing/>
        <w:rPr>
          <w:ins w:id="201" w:author="John Dooley" w:date="2018-08-10T14:38:00Z"/>
          <w:rFonts w:eastAsia="Calibri"/>
          <w:sz w:val="20"/>
          <w:szCs w:val="20"/>
        </w:rPr>
      </w:pPr>
      <w:ins w:id="202" w:author="John Dooley" w:date="2018-08-10T14:38:00Z">
        <w:r>
          <w:rPr>
            <w:rFonts w:eastAsia="Calibri"/>
            <w:sz w:val="20"/>
            <w:szCs w:val="20"/>
          </w:rPr>
          <w:t>Figure 6.5.4-1:  FCC Mandated Emissions Limits for ISM Protection</w:t>
        </w:r>
      </w:ins>
    </w:p>
    <w:p w:rsidR="003C716D" w:rsidRPr="007252DF" w:rsidRDefault="003C716D" w:rsidP="003C716D">
      <w:pPr>
        <w:pStyle w:val="Heading2"/>
        <w:ind w:left="0" w:firstLine="0"/>
        <w:rPr>
          <w:ins w:id="203" w:author="John Dooley" w:date="2018-08-10T14:38:00Z"/>
          <w:rFonts w:ascii="Times New Roman" w:hAnsi="Times New Roman"/>
          <w:sz w:val="20"/>
          <w:szCs w:val="20"/>
        </w:rPr>
      </w:pPr>
      <w:ins w:id="204" w:author="John Dooley" w:date="2018-08-10T14:38:00Z">
        <w:r w:rsidRPr="00915E08">
          <w:rPr>
            <w:rFonts w:ascii="Times New Roman" w:hAnsi="Times New Roman"/>
            <w:sz w:val="20"/>
            <w:szCs w:val="20"/>
            <w:lang w:val="en-US"/>
          </w:rPr>
          <w:t>The relevant rules for operational equipment are listed below:</w:t>
        </w:r>
      </w:ins>
    </w:p>
    <w:p w:rsidR="003C716D" w:rsidRPr="00915E08" w:rsidRDefault="003C716D" w:rsidP="003C716D">
      <w:pPr>
        <w:ind w:left="568"/>
        <w:rPr>
          <w:ins w:id="205" w:author="John Dooley" w:date="2018-08-10T14:38:00Z"/>
          <w:i/>
          <w:sz w:val="20"/>
        </w:rPr>
      </w:pPr>
      <w:ins w:id="206" w:author="John Dooley" w:date="2018-08-10T14:38:00Z">
        <w:r w:rsidRPr="00915E08">
          <w:rPr>
            <w:i/>
            <w:sz w:val="20"/>
          </w:rPr>
          <w:t>(v) Emissions below 2483.5 MHz are attenuated below the transmitter power (P) measured in watts by a factor of at least 40 + 10 log (P) dB at the channel edge at 2483.5 MHz, 43 + 10 log (P) dB at 5 MHz from the channel edge, and 55 + 10 log (P) dB at X MHz from the channel edge where X is the greater of 6 MHz or the actual emission bandwidth.</w:t>
        </w:r>
      </w:ins>
    </w:p>
    <w:p w:rsidR="003C716D" w:rsidRPr="00915E08" w:rsidRDefault="003C716D" w:rsidP="003C716D">
      <w:pPr>
        <w:rPr>
          <w:ins w:id="207" w:author="John Dooley" w:date="2018-08-10T14:38:00Z"/>
          <w:i/>
          <w:sz w:val="20"/>
        </w:rPr>
      </w:pPr>
    </w:p>
    <w:p w:rsidR="003C716D" w:rsidRPr="00915E08" w:rsidRDefault="003C716D" w:rsidP="003C716D">
      <w:pPr>
        <w:ind w:left="568"/>
        <w:rPr>
          <w:ins w:id="208" w:author="John Dooley" w:date="2018-08-10T14:38:00Z"/>
          <w:i/>
          <w:sz w:val="20"/>
        </w:rPr>
      </w:pPr>
      <w:ins w:id="209" w:author="John Dooley" w:date="2018-08-10T14:38:00Z">
        <w:r w:rsidRPr="00915E08">
          <w:rPr>
            <w:i/>
            <w:sz w:val="20"/>
          </w:rPr>
          <w:t xml:space="preserve">(vii) Compliance with these rules is based on the use of measurement instrumentation employing a resolution bandwidth of 1 MHz or greater.  However, in the 1 MHz bands immediately above and adjacent to the 2495 MHz a resolution bandwidth of at least 1 percent of the emission bandwidth of the fundamental emission of the transmitter may be employed.  If 1 percent of the emission bandwidth of the fundamental emission is less than 1 MHz, the power measured must be integrated over the required measurement bandwidth of 1 MHz.  A </w:t>
        </w:r>
        <w:r w:rsidRPr="00915E08">
          <w:rPr>
            <w:i/>
            <w:sz w:val="20"/>
          </w:rPr>
          <w:lastRenderedPageBreak/>
          <w:t>resolution bandwidth narrower than 1 MHz is permitted to improve measurement accuracy, provided the measured power is integrated over the full required measurement bandwidth (i.e., 1 MHz).  The emission bandwidth of the fundamental emission of a transmitter is defined as the width of the signal between two points, one below the carrier center frequency and one above the carrier center frequency, outside of which all emissions are attenuated at least 26 dB below the transmitter power.  When an emission outside of the authorized bandwidth causes harmful interference, the Commission may, at its discretion, require greater attenuation than specified in this section;</w:t>
        </w:r>
      </w:ins>
    </w:p>
    <w:p w:rsidR="003C716D" w:rsidRDefault="003C716D" w:rsidP="003C716D">
      <w:pPr>
        <w:rPr>
          <w:ins w:id="210" w:author="John Dooley" w:date="2018-08-10T14:38:00Z"/>
          <w:rFonts w:eastAsia="Calibri"/>
          <w:sz w:val="20"/>
          <w:szCs w:val="20"/>
        </w:rPr>
      </w:pPr>
    </w:p>
    <w:p w:rsidR="003C716D" w:rsidRDefault="003C716D" w:rsidP="003C716D">
      <w:pPr>
        <w:rPr>
          <w:ins w:id="211" w:author="John Dooley" w:date="2018-08-10T14:38:00Z"/>
          <w:sz w:val="20"/>
        </w:rPr>
      </w:pPr>
      <w:ins w:id="212" w:author="John Dooley" w:date="2018-08-10T14:38:00Z">
        <w:r>
          <w:rPr>
            <w:sz w:val="20"/>
          </w:rPr>
          <w:t>OOBE limited to protect unlicensed operations below 2483.5 MHz are justified by FCC Report and Order 16-181, Paragraphs 28-30:</w:t>
        </w:r>
      </w:ins>
    </w:p>
    <w:p w:rsidR="003C716D" w:rsidRDefault="003C716D" w:rsidP="003C716D">
      <w:pPr>
        <w:rPr>
          <w:ins w:id="213" w:author="John Dooley" w:date="2018-08-10T14:38:00Z"/>
          <w:rFonts w:eastAsia="Calibri"/>
          <w:sz w:val="20"/>
          <w:szCs w:val="20"/>
        </w:rPr>
      </w:pPr>
    </w:p>
    <w:p w:rsidR="003C716D" w:rsidRDefault="003C716D" w:rsidP="003C716D">
      <w:pPr>
        <w:ind w:left="568"/>
        <w:rPr>
          <w:ins w:id="214" w:author="John Dooley" w:date="2018-08-10T14:38:00Z"/>
          <w:i/>
          <w:sz w:val="20"/>
          <w:szCs w:val="20"/>
        </w:rPr>
      </w:pPr>
      <w:ins w:id="215" w:author="John Dooley" w:date="2018-08-10T14:38:00Z">
        <w:r w:rsidRPr="007B175D">
          <w:rPr>
            <w:i/>
            <w:sz w:val="20"/>
            <w:szCs w:val="20"/>
          </w:rPr>
          <w:t>28.  On December 7, 2016, Globalstar filed an ex parte letter suggesting that the Commission adopt a revi</w:t>
        </w:r>
        <w:r>
          <w:rPr>
            <w:i/>
            <w:sz w:val="20"/>
            <w:szCs w:val="20"/>
          </w:rPr>
          <w:t xml:space="preserve">sed unwanted emissions limit. </w:t>
        </w:r>
        <w:r w:rsidRPr="007B175D">
          <w:rPr>
            <w:i/>
            <w:sz w:val="20"/>
            <w:szCs w:val="20"/>
          </w:rPr>
          <w:t xml:space="preserve"> Although Globalstar believes that the Section 15.247(d) unwanted emissions limit provides sufficient protection to adjacent-band operations and meets the need of inte</w:t>
        </w:r>
        <w:r>
          <w:rPr>
            <w:i/>
            <w:sz w:val="20"/>
            <w:szCs w:val="20"/>
          </w:rPr>
          <w:t>rested parties in the record,</w:t>
        </w:r>
        <w:r w:rsidRPr="007B175D">
          <w:rPr>
            <w:i/>
            <w:sz w:val="20"/>
            <w:szCs w:val="20"/>
          </w:rPr>
          <w:t xml:space="preserve"> Globalstar indicates that it would accept the following unwanted emissions limit at 2483.5 MHz: “Emissions below 2483.5 MHz shall be attenuated by a factor of at least 40 + 10 log (P) dB at the channel edge at 2483.5 MHz, 43 + 10 log (P) dB at 5 MHz from the channel edge, and 55 + 10 log (P) dB at X MHz from the channel edge where X is the greater of 6 MHz or th</w:t>
        </w:r>
        <w:r>
          <w:rPr>
            <w:i/>
            <w:sz w:val="20"/>
            <w:szCs w:val="20"/>
          </w:rPr>
          <w:t xml:space="preserve">e actual emission bandwidth.” </w:t>
        </w:r>
        <w:r w:rsidRPr="007B175D">
          <w:rPr>
            <w:i/>
            <w:sz w:val="20"/>
            <w:szCs w:val="20"/>
          </w:rPr>
          <w:t xml:space="preserve"> This alternative unwanted emissions limit in footnote 5 of Globalstar’s December 7, 2016, ex parte was subsequently supported by the Entertainmen</w:t>
        </w:r>
        <w:r>
          <w:rPr>
            <w:i/>
            <w:sz w:val="20"/>
            <w:szCs w:val="20"/>
          </w:rPr>
          <w:t>t Software Association (ESA).</w:t>
        </w:r>
        <w:r w:rsidRPr="007B175D">
          <w:rPr>
            <w:i/>
            <w:sz w:val="20"/>
            <w:szCs w:val="20"/>
          </w:rPr>
          <w:t xml:space="preserve"> On December 14, 2016, the Hearing Industries Association filed an ex parte letter stating that Globalstar’s revised unwanted emissions limit is a better solution than the 20 dB out-of-band emissions limit of Section 15.247(d) to protect its very-low-power transmissions, but that it would need to complete its testing and analysis before drawing final conclusions on t</w:t>
        </w:r>
        <w:r>
          <w:rPr>
            <w:i/>
            <w:sz w:val="20"/>
            <w:szCs w:val="20"/>
          </w:rPr>
          <w:t xml:space="preserve">he effect on hearing aids.  </w:t>
        </w:r>
        <w:r w:rsidRPr="007B175D">
          <w:rPr>
            <w:i/>
            <w:sz w:val="20"/>
            <w:szCs w:val="20"/>
          </w:rPr>
          <w:t>In response, Globalstar filed an ex parte letter stating that out-of-band emissions from a Globalstar device will be below the local ISM band noise and interference floor, and that hearing aids using Bluetooth are further protected by a gap between the highest frequency used by those hearing aids and the lower end of Gl</w:t>
        </w:r>
        <w:r>
          <w:rPr>
            <w:i/>
            <w:sz w:val="20"/>
            <w:szCs w:val="20"/>
          </w:rPr>
          <w:t xml:space="preserve">obalstar’s licensed spectrum. </w:t>
        </w:r>
        <w:r w:rsidRPr="007B175D">
          <w:rPr>
            <w:i/>
            <w:sz w:val="20"/>
            <w:szCs w:val="20"/>
          </w:rPr>
          <w:t xml:space="preserve"> In addition, Globalstar commented that the March, 2015, tests conducted in the FCC’s Technology Experience Center showed that Bluetooth hearing aids could operate even while Globalstar’s Wi-Fi-based low-power devices were operating on Channel 14 with no discernable imp</w:t>
        </w:r>
        <w:r>
          <w:rPr>
            <w:i/>
            <w:sz w:val="20"/>
            <w:szCs w:val="20"/>
          </w:rPr>
          <w:t>act to hearing aid operation.</w:t>
        </w:r>
      </w:ins>
    </w:p>
    <w:p w:rsidR="003C716D" w:rsidRDefault="003C716D" w:rsidP="003C716D">
      <w:pPr>
        <w:rPr>
          <w:ins w:id="216" w:author="John Dooley" w:date="2018-08-10T14:38:00Z"/>
          <w:sz w:val="20"/>
          <w:szCs w:val="20"/>
        </w:rPr>
      </w:pPr>
    </w:p>
    <w:p w:rsidR="003C716D" w:rsidRPr="00A01C36" w:rsidRDefault="003C716D" w:rsidP="003C716D">
      <w:pPr>
        <w:ind w:left="568"/>
        <w:rPr>
          <w:ins w:id="217" w:author="John Dooley" w:date="2018-08-10T14:38:00Z"/>
          <w:i/>
          <w:sz w:val="20"/>
          <w:szCs w:val="20"/>
        </w:rPr>
      </w:pPr>
      <w:ins w:id="218" w:author="John Dooley" w:date="2018-08-10T14:38:00Z">
        <w:r w:rsidRPr="00A01C36">
          <w:rPr>
            <w:i/>
            <w:sz w:val="20"/>
            <w:szCs w:val="20"/>
          </w:rPr>
          <w:t xml:space="preserve">29. We recognize the beneficial use of hearing assistance devices and the many other kinds of unlicensed devices operating in this and other spectrum.  While we recognize the desirability of using very weak signals for these operations, particularly to preserve battery life, this design choice does not warrant constraints on users of the spectrum outside the licensed bands.  Moreover, the Commission has on many occasions underscored that unlicensed devices operate under the fundamental condition that they are not protected against harmful interference.  Therefore, additional tests to determine the interference susceptibility of such devices from operations in adjacent bands are unwarranted.  </w:t>
        </w:r>
      </w:ins>
    </w:p>
    <w:p w:rsidR="003C716D" w:rsidRPr="00A01C36" w:rsidRDefault="003C716D" w:rsidP="003C716D">
      <w:pPr>
        <w:ind w:left="568"/>
        <w:rPr>
          <w:ins w:id="219" w:author="John Dooley" w:date="2018-08-10T14:38:00Z"/>
          <w:i/>
          <w:sz w:val="20"/>
          <w:szCs w:val="20"/>
        </w:rPr>
      </w:pPr>
    </w:p>
    <w:p w:rsidR="003C716D" w:rsidRPr="00A01C36" w:rsidRDefault="003C716D" w:rsidP="003C716D">
      <w:pPr>
        <w:ind w:left="568"/>
        <w:rPr>
          <w:ins w:id="220" w:author="John Dooley" w:date="2018-08-10T14:38:00Z"/>
          <w:i/>
          <w:sz w:val="20"/>
          <w:szCs w:val="20"/>
        </w:rPr>
      </w:pPr>
      <w:ins w:id="221" w:author="John Dooley" w:date="2018-08-10T14:38:00Z">
        <w:r w:rsidRPr="00A01C36">
          <w:rPr>
            <w:i/>
            <w:sz w:val="20"/>
            <w:szCs w:val="20"/>
          </w:rPr>
          <w:t>30. We find that the alternative lower band edge unwanted emissions limit agreed to by</w:t>
        </w:r>
        <w:r>
          <w:rPr>
            <w:i/>
            <w:sz w:val="20"/>
            <w:szCs w:val="20"/>
          </w:rPr>
          <w:t xml:space="preserve"> </w:t>
        </w:r>
        <w:r w:rsidRPr="00A01C36">
          <w:rPr>
            <w:i/>
            <w:sz w:val="20"/>
            <w:szCs w:val="20"/>
          </w:rPr>
          <w:t>Globalstar in its December 7, 2016, ex parte letter is appropriate to apply to Globalstar’s lower band edge at 2483.5 MHz.  We adopt paragraph (v) in Section 25.149(c)(4) of our rules</w:t>
        </w:r>
        <w:r>
          <w:rPr>
            <w:i/>
            <w:sz w:val="20"/>
            <w:szCs w:val="20"/>
          </w:rPr>
          <w:t xml:space="preserve"> consistent with this limit.</w:t>
        </w:r>
        <w:r w:rsidRPr="00A01C36">
          <w:rPr>
            <w:i/>
            <w:sz w:val="20"/>
            <w:szCs w:val="20"/>
          </w:rPr>
          <w:t xml:space="preserve"> As noted in the NPRM, the proposed out-of-band emissions limit from Section 25.254 of the Commission’s rules was created with high-powered operation</w:t>
        </w:r>
        <w:r>
          <w:rPr>
            <w:i/>
            <w:sz w:val="20"/>
            <w:szCs w:val="20"/>
          </w:rPr>
          <w:t>s in mind,</w:t>
        </w:r>
        <w:r w:rsidRPr="00A01C36">
          <w:rPr>
            <w:i/>
            <w:sz w:val="20"/>
            <w:szCs w:val="20"/>
          </w:rPr>
          <w:t xml:space="preserve"> and Globalstar’s operations will be low-power.  In addition, the concerns raised regarding interference to Channel 11 are not applicable to Globalstar’s operations because it will not be operating in the 2473-2483.5 MHz band or using IEEE 802</w:t>
        </w:r>
        <w:r>
          <w:rPr>
            <w:i/>
            <w:sz w:val="20"/>
            <w:szCs w:val="20"/>
          </w:rPr>
          <w:t>.11 Channel 14.</w:t>
        </w:r>
        <w:r w:rsidRPr="00A01C36">
          <w:rPr>
            <w:i/>
            <w:sz w:val="20"/>
            <w:szCs w:val="20"/>
          </w:rPr>
          <w:t xml:space="preserve">  We note that the out-of-band emissions below 2483.5 MHz would fall on spectrum used by Part 15 devices, and any unwanted emissions from Globalstar’s operations that are compliant with the newly adopted Section 25.149(c)(4)(v) limit will be lower than the unwanted emissions from Part 15 devices when operating in the 2400-2483.5 MHz band.  Thus, interference to Part 15 devices operating in the 2400-2483.5 MHz band will be dominated by in-band emissions generated by other Part 15 devices, ISM equipment, and other devices operating in the band.  It appears that adoption of the limit proposed by Globalstar for the lower band edge will resolve the concerns of other parties, including B</w:t>
        </w:r>
        <w:r>
          <w:rPr>
            <w:i/>
            <w:sz w:val="20"/>
            <w:szCs w:val="20"/>
          </w:rPr>
          <w:t xml:space="preserve">luetooth SIG, HIA, and ESA. </w:t>
        </w:r>
        <w:r w:rsidRPr="00A01C36">
          <w:rPr>
            <w:i/>
            <w:sz w:val="20"/>
            <w:szCs w:val="20"/>
          </w:rPr>
          <w:t xml:space="preserve">The unwanted emissions limit voluntarily agreed to by Globalstar shall not be construed as generally being applicable to licensed services when operating adjacent to unlicensed operations.  </w:t>
        </w:r>
      </w:ins>
    </w:p>
    <w:p w:rsidR="003C716D" w:rsidRDefault="003C716D" w:rsidP="003C716D">
      <w:pPr>
        <w:rPr>
          <w:ins w:id="222" w:author="John Dooley" w:date="2018-08-10T14:38:00Z"/>
          <w:sz w:val="20"/>
          <w:szCs w:val="20"/>
        </w:rPr>
      </w:pPr>
    </w:p>
    <w:p w:rsidR="003C716D" w:rsidRPr="00776A81" w:rsidRDefault="003C716D" w:rsidP="003C716D">
      <w:pPr>
        <w:pStyle w:val="Heading2"/>
        <w:rPr>
          <w:ins w:id="223" w:author="John Dooley" w:date="2018-08-10T14:38:00Z"/>
          <w:sz w:val="24"/>
        </w:rPr>
      </w:pPr>
      <w:ins w:id="224" w:author="John Dooley" w:date="2018-08-10T14:38:00Z">
        <w:r>
          <w:rPr>
            <w:sz w:val="24"/>
            <w:lang w:val="en-US"/>
          </w:rPr>
          <w:t>6.5.5</w:t>
        </w:r>
        <w:r w:rsidRPr="00776A81">
          <w:rPr>
            <w:sz w:val="24"/>
            <w:lang w:val="en-US"/>
          </w:rPr>
          <w:tab/>
        </w:r>
        <w:r>
          <w:rPr>
            <w:sz w:val="24"/>
            <w:lang w:val="en-US"/>
          </w:rPr>
          <w:t xml:space="preserve">Mandatory Deployment of </w:t>
        </w:r>
        <w:r>
          <w:rPr>
            <w:sz w:val="24"/>
          </w:rPr>
          <w:t>Network Operating System</w:t>
        </w:r>
      </w:ins>
    </w:p>
    <w:p w:rsidR="003C716D" w:rsidRPr="00D03C01" w:rsidRDefault="003C716D" w:rsidP="003C716D">
      <w:pPr>
        <w:rPr>
          <w:ins w:id="225" w:author="John Dooley" w:date="2018-08-10T14:38:00Z"/>
          <w:sz w:val="20"/>
          <w:szCs w:val="20"/>
        </w:rPr>
      </w:pPr>
      <w:ins w:id="226" w:author="John Dooley" w:date="2018-08-10T14:38:00Z">
        <w:r w:rsidRPr="00D03C01">
          <w:rPr>
            <w:sz w:val="20"/>
            <w:szCs w:val="20"/>
          </w:rPr>
          <w:t>Special requirements for control of the 2.4 GHz band are governed by Title 47 of the CFR, Part 25.149(g)(2).  The relevant rules are listed below:</w:t>
        </w:r>
      </w:ins>
    </w:p>
    <w:p w:rsidR="003C716D" w:rsidRPr="00D03C01" w:rsidRDefault="003C716D" w:rsidP="003C716D">
      <w:pPr>
        <w:rPr>
          <w:ins w:id="227" w:author="John Dooley" w:date="2018-08-10T14:38:00Z"/>
          <w:sz w:val="20"/>
          <w:szCs w:val="20"/>
        </w:rPr>
      </w:pPr>
    </w:p>
    <w:p w:rsidR="003C716D" w:rsidRPr="00D03C01" w:rsidRDefault="003C716D" w:rsidP="003C716D">
      <w:pPr>
        <w:ind w:left="720"/>
        <w:rPr>
          <w:ins w:id="228" w:author="John Dooley" w:date="2018-08-10T14:38:00Z"/>
          <w:i/>
          <w:sz w:val="20"/>
          <w:szCs w:val="20"/>
        </w:rPr>
      </w:pPr>
      <w:ins w:id="229" w:author="John Dooley" w:date="2018-08-10T14:38:00Z">
        <w:r w:rsidRPr="00D03C01">
          <w:rPr>
            <w:i/>
            <w:sz w:val="20"/>
            <w:szCs w:val="20"/>
          </w:rPr>
          <w:t xml:space="preserve">(2) An ATC licensee seeking to modify its license to add authority to operate a terrestrial low-power network shall certify in its modification application that its operations will utilize a Network Operating System (NOS), </w:t>
        </w:r>
        <w:r w:rsidRPr="00D03C01">
          <w:rPr>
            <w:i/>
            <w:sz w:val="20"/>
            <w:szCs w:val="20"/>
          </w:rPr>
          <w:lastRenderedPageBreak/>
          <w:t>consisting of a network management system located at an operations center or centers.  The NOS shall have the technical capability to address and resolve interference issues related to the licensee’s network operations by (a) reducing operational power; (b) adjusting operational frequencies; (c) shutting off operations; or (d) any other appropriate means.  The NOS shall also have the ability to resolve interference from the terrestrial low-power network to the licensee’s MSS operations and to authorize access points to the network, which in turn may authorize access to the network by end-user devices.  The NOS operations center shall have a point of contact in the United States available 24 hours a day, seven days a week, with a phone number and address made publicly-available by the licensee.</w:t>
        </w:r>
      </w:ins>
    </w:p>
    <w:p w:rsidR="003C716D" w:rsidRDefault="003C716D" w:rsidP="003C716D">
      <w:pPr>
        <w:rPr>
          <w:ins w:id="230" w:author="John Dooley" w:date="2018-08-10T14:38:00Z"/>
          <w:rFonts w:eastAsia="Calibri"/>
          <w:sz w:val="20"/>
          <w:szCs w:val="20"/>
        </w:rPr>
      </w:pPr>
    </w:p>
    <w:p w:rsidR="003C716D" w:rsidRDefault="003C716D" w:rsidP="003C716D">
      <w:pPr>
        <w:rPr>
          <w:ins w:id="231" w:author="John Dooley" w:date="2018-08-10T14:38:00Z"/>
          <w:rFonts w:eastAsia="Calibri"/>
          <w:sz w:val="20"/>
          <w:szCs w:val="20"/>
        </w:rPr>
      </w:pPr>
    </w:p>
    <w:p w:rsidR="003C716D" w:rsidRPr="00FC76D5" w:rsidRDefault="003C716D" w:rsidP="003C716D">
      <w:pPr>
        <w:pStyle w:val="Heading2"/>
        <w:rPr>
          <w:ins w:id="232" w:author="John Dooley" w:date="2018-08-10T14:38:00Z"/>
          <w:lang w:val="en-US"/>
        </w:rPr>
      </w:pPr>
      <w:ins w:id="233" w:author="John Dooley" w:date="2018-08-10T14:38:00Z">
        <w:r>
          <w:rPr>
            <w:lang w:val="en-US"/>
          </w:rPr>
          <w:t>6.6</w:t>
        </w:r>
        <w:r>
          <w:rPr>
            <w:lang w:val="en-US"/>
          </w:rPr>
          <w:tab/>
          <w:t>Co-Existence Evaluation for 10 MHz LTE Emission within FCC Ratified Band Plan (2483.5 MHz to 2945 MHz)</w:t>
        </w:r>
      </w:ins>
    </w:p>
    <w:p w:rsidR="003C716D" w:rsidRDefault="003C716D" w:rsidP="003C716D">
      <w:pPr>
        <w:pStyle w:val="Heading2"/>
        <w:rPr>
          <w:ins w:id="234" w:author="John Dooley" w:date="2018-08-10T14:38:00Z"/>
          <w:sz w:val="24"/>
        </w:rPr>
      </w:pPr>
      <w:ins w:id="235" w:author="John Dooley" w:date="2018-08-10T14:38:00Z">
        <w:r>
          <w:rPr>
            <w:sz w:val="24"/>
            <w:lang w:val="en-US"/>
          </w:rPr>
          <w:t>6.6</w:t>
        </w:r>
        <w:r w:rsidRPr="00776A81">
          <w:rPr>
            <w:sz w:val="24"/>
            <w:lang w:val="en-US"/>
          </w:rPr>
          <w:t>.1</w:t>
        </w:r>
        <w:r w:rsidRPr="00776A81">
          <w:rPr>
            <w:sz w:val="24"/>
            <w:lang w:val="en-US"/>
          </w:rPr>
          <w:tab/>
        </w:r>
        <w:r>
          <w:rPr>
            <w:sz w:val="24"/>
            <w:lang w:val="en-US"/>
          </w:rPr>
          <w:t xml:space="preserve">UE </w:t>
        </w:r>
        <w:r>
          <w:rPr>
            <w:sz w:val="24"/>
          </w:rPr>
          <w:t>Worst Case Emissions to ISM band</w:t>
        </w:r>
      </w:ins>
    </w:p>
    <w:p w:rsidR="003C716D" w:rsidRDefault="003C716D" w:rsidP="003C716D">
      <w:pPr>
        <w:rPr>
          <w:ins w:id="236" w:author="John Dooley" w:date="2018-08-10T14:38:00Z"/>
          <w:sz w:val="20"/>
          <w:szCs w:val="20"/>
        </w:rPr>
      </w:pPr>
      <w:ins w:id="237" w:author="John Dooley" w:date="2018-08-10T14:38:00Z">
        <w:r>
          <w:rPr>
            <w:sz w:val="20"/>
            <w:szCs w:val="20"/>
          </w:rPr>
          <w:t>For uplink transmissions, the unwanted emissions that leak to the ISM band were simulated using RAN4 minimum RF performance assumptions. The power amplifier was calibrated so that after 4 dB post-PA losses, 22 dBm fully populated QPSK signal is output at the antenna connector, with the emissions profile just meeting 30 dB E-UTRA ACLR requirement. The model is based on measured data from an LTE PA. No filter selectivity has been assumed in order to evaluate the close-in emission margins to the regulatory limits. The carrier frequency is placed at the highest position within the band.</w:t>
        </w:r>
      </w:ins>
    </w:p>
    <w:p w:rsidR="003C716D" w:rsidRDefault="003C716D" w:rsidP="003C716D">
      <w:pPr>
        <w:rPr>
          <w:ins w:id="238" w:author="John Dooley" w:date="2018-08-10T14:38:00Z"/>
          <w:sz w:val="20"/>
          <w:szCs w:val="20"/>
        </w:rPr>
      </w:pPr>
    </w:p>
    <w:p w:rsidR="003C716D" w:rsidRDefault="003C716D" w:rsidP="003C716D">
      <w:pPr>
        <w:rPr>
          <w:ins w:id="239" w:author="John Dooley" w:date="2018-08-10T14:38:00Z"/>
          <w:sz w:val="20"/>
          <w:szCs w:val="20"/>
        </w:rPr>
      </w:pPr>
      <w:ins w:id="240" w:author="John Dooley" w:date="2018-08-10T14:38:00Z">
        <w:r>
          <w:rPr>
            <w:sz w:val="20"/>
            <w:szCs w:val="20"/>
          </w:rPr>
          <w:t xml:space="preserve">     </w:t>
        </w:r>
      </w:ins>
      <w:ins w:id="241" w:author="John Dooley" w:date="2018-08-10T14:10:00Z">
        <w:r w:rsidR="0046703F" w:rsidRPr="00720B77">
          <w:rPr>
            <w:noProof/>
            <w:sz w:val="20"/>
            <w:szCs w:val="20"/>
          </w:rPr>
          <w:pict>
            <v:shape id="Picture 3" o:spid="_x0000_i1030" type="#_x0000_t75" alt="" style="width:6in;height:396pt;visibility:visible;mso-width-percent:0;mso-height-percent:0;mso-width-percent:0;mso-height-percent:0">
              <v:imagedata r:id="rId19" o:title="" croptop="3638f" cropbottom="3027f"/>
            </v:shape>
          </w:pict>
        </w:r>
      </w:ins>
    </w:p>
    <w:p w:rsidR="003C716D" w:rsidRDefault="003C716D" w:rsidP="003C716D">
      <w:pPr>
        <w:jc w:val="center"/>
        <w:rPr>
          <w:ins w:id="242" w:author="John Dooley" w:date="2018-08-10T14:38:00Z"/>
          <w:sz w:val="20"/>
          <w:szCs w:val="20"/>
        </w:rPr>
      </w:pPr>
    </w:p>
    <w:p w:rsidR="003C716D" w:rsidRPr="00AB4846" w:rsidRDefault="003C716D" w:rsidP="003C716D">
      <w:pPr>
        <w:numPr>
          <w:ilvl w:val="0"/>
          <w:numId w:val="1"/>
        </w:numPr>
        <w:contextualSpacing/>
        <w:rPr>
          <w:ins w:id="243" w:author="John Dooley" w:date="2018-08-10T14:38:00Z"/>
          <w:sz w:val="20"/>
          <w:szCs w:val="20"/>
        </w:rPr>
      </w:pPr>
      <w:ins w:id="244" w:author="John Dooley" w:date="2018-08-10T14:38:00Z">
        <w:r w:rsidRPr="00AB4846">
          <w:rPr>
            <w:rFonts w:eastAsia="Calibri"/>
            <w:sz w:val="20"/>
            <w:szCs w:val="20"/>
          </w:rPr>
          <w:t>Figure 6.</w:t>
        </w:r>
        <w:r>
          <w:rPr>
            <w:rFonts w:eastAsia="Calibri"/>
            <w:sz w:val="20"/>
            <w:szCs w:val="20"/>
          </w:rPr>
          <w:t>6</w:t>
        </w:r>
        <w:r w:rsidRPr="00AB4846">
          <w:rPr>
            <w:rFonts w:eastAsia="Calibri"/>
            <w:sz w:val="20"/>
            <w:szCs w:val="20"/>
          </w:rPr>
          <w:t>.</w:t>
        </w:r>
        <w:r>
          <w:rPr>
            <w:rFonts w:eastAsia="Calibri"/>
            <w:sz w:val="20"/>
            <w:szCs w:val="20"/>
          </w:rPr>
          <w:t>1</w:t>
        </w:r>
        <w:r w:rsidRPr="00AB4846">
          <w:rPr>
            <w:rFonts w:eastAsia="Calibri"/>
            <w:sz w:val="20"/>
            <w:szCs w:val="20"/>
          </w:rPr>
          <w:t xml:space="preserve">-1:  </w:t>
        </w:r>
        <w:r>
          <w:rPr>
            <w:rFonts w:eastAsia="Calibri"/>
            <w:sz w:val="20"/>
            <w:szCs w:val="20"/>
          </w:rPr>
          <w:t>Worst Case UE TX Leakage to ISM Band</w:t>
        </w:r>
      </w:ins>
    </w:p>
    <w:p w:rsidR="003C716D" w:rsidRDefault="003C716D" w:rsidP="003C716D">
      <w:pPr>
        <w:rPr>
          <w:ins w:id="245" w:author="John Dooley" w:date="2018-08-10T14:38:00Z"/>
          <w:sz w:val="20"/>
          <w:szCs w:val="20"/>
        </w:rPr>
      </w:pPr>
    </w:p>
    <w:p w:rsidR="003C716D" w:rsidRPr="00B66413" w:rsidRDefault="003C716D" w:rsidP="003C716D">
      <w:pPr>
        <w:rPr>
          <w:ins w:id="246" w:author="John Dooley" w:date="2018-08-10T14:38:00Z"/>
          <w:sz w:val="20"/>
          <w:szCs w:val="20"/>
        </w:rPr>
      </w:pPr>
    </w:p>
    <w:p w:rsidR="003C716D" w:rsidRDefault="003C716D" w:rsidP="003C716D">
      <w:pPr>
        <w:rPr>
          <w:ins w:id="247" w:author="John Dooley" w:date="2018-08-10T14:38:00Z"/>
          <w:sz w:val="20"/>
          <w:szCs w:val="20"/>
        </w:rPr>
      </w:pPr>
      <w:ins w:id="248" w:author="John Dooley" w:date="2018-08-10T14:38:00Z">
        <w:r>
          <w:rPr>
            <w:sz w:val="20"/>
            <w:szCs w:val="20"/>
          </w:rPr>
          <w:lastRenderedPageBreak/>
          <w:t>It can be seen that the FCC emission mask is more relaxed than the LTE SEM, guaranteeing that the FCC limits are met. Also, the general spurious emission limit of -30 dBm/MHz is tighter than the FCC requirement on the ISM band, meaning that UEs have no trouble meeting the limits regardless of whether the general spurious limit applies.</w:t>
        </w:r>
      </w:ins>
    </w:p>
    <w:p w:rsidR="003C716D" w:rsidRDefault="003C716D" w:rsidP="003C716D">
      <w:pPr>
        <w:rPr>
          <w:ins w:id="249" w:author="John Dooley" w:date="2018-08-10T14:38:00Z"/>
          <w:sz w:val="20"/>
          <w:szCs w:val="20"/>
        </w:rPr>
      </w:pPr>
    </w:p>
    <w:p w:rsidR="003C716D" w:rsidRDefault="003C716D" w:rsidP="003C716D">
      <w:pPr>
        <w:rPr>
          <w:ins w:id="250" w:author="John Dooley" w:date="2018-08-10T14:38:00Z"/>
          <w:sz w:val="20"/>
          <w:szCs w:val="20"/>
        </w:rPr>
      </w:pPr>
      <w:ins w:id="251" w:author="John Dooley" w:date="2018-08-10T14:38:00Z">
        <w:r>
          <w:rPr>
            <w:sz w:val="20"/>
            <w:szCs w:val="20"/>
          </w:rPr>
          <w:t>To further improve the coexistence with ISM band services, the worst case emissions assuming a TDD band filter have been studied. The assumptions for the filter design are as follows:</w:t>
        </w:r>
      </w:ins>
    </w:p>
    <w:p w:rsidR="003C716D" w:rsidRDefault="003C716D" w:rsidP="003C716D">
      <w:pPr>
        <w:rPr>
          <w:ins w:id="252" w:author="John Dooley" w:date="2018-08-10T14:38:00Z"/>
          <w:sz w:val="20"/>
          <w:szCs w:val="20"/>
        </w:rPr>
      </w:pPr>
    </w:p>
    <w:p w:rsidR="003C716D" w:rsidRDefault="003C716D" w:rsidP="003C716D">
      <w:pPr>
        <w:pStyle w:val="ListParagraph"/>
        <w:numPr>
          <w:ilvl w:val="0"/>
          <w:numId w:val="1"/>
        </w:numPr>
        <w:rPr>
          <w:ins w:id="253" w:author="John Dooley" w:date="2018-08-10T14:38:00Z"/>
          <w:sz w:val="20"/>
          <w:szCs w:val="20"/>
        </w:rPr>
      </w:pPr>
      <w:ins w:id="254" w:author="John Dooley" w:date="2018-08-10T14:38:00Z">
        <w:r>
          <w:rPr>
            <w:sz w:val="20"/>
            <w:szCs w:val="20"/>
          </w:rPr>
          <w:t xml:space="preserve">Synchronization with Band 41 networks is assumed. This allows a relaxed response on the upper side of the band, and the lower side may be designed with a steep edge. Note that the LTE SEM should be sufficient to </w:t>
        </w:r>
      </w:ins>
    </w:p>
    <w:p w:rsidR="003C716D" w:rsidRDefault="003C716D" w:rsidP="003C716D">
      <w:pPr>
        <w:pStyle w:val="ListParagraph"/>
        <w:ind w:left="720" w:firstLine="0"/>
        <w:rPr>
          <w:ins w:id="255" w:author="John Dooley" w:date="2018-08-10T14:38:00Z"/>
          <w:sz w:val="20"/>
          <w:szCs w:val="20"/>
        </w:rPr>
      </w:pPr>
      <w:ins w:id="256" w:author="John Dooley" w:date="2018-08-10T14:38:00Z">
        <w:r>
          <w:rPr>
            <w:sz w:val="20"/>
            <w:szCs w:val="20"/>
          </w:rPr>
          <w:t>meet the FCC unwanted emission limits above the band, without assuming any filter selectivity.</w:t>
        </w:r>
      </w:ins>
    </w:p>
    <w:p w:rsidR="003C716D" w:rsidRDefault="003C716D" w:rsidP="003C716D">
      <w:pPr>
        <w:pStyle w:val="ListParagraph"/>
        <w:ind w:left="720" w:firstLine="0"/>
        <w:rPr>
          <w:ins w:id="257" w:author="John Dooley" w:date="2018-08-10T14:38:00Z"/>
          <w:sz w:val="20"/>
          <w:szCs w:val="20"/>
        </w:rPr>
      </w:pPr>
    </w:p>
    <w:p w:rsidR="003C716D" w:rsidRDefault="003C716D" w:rsidP="003C716D">
      <w:pPr>
        <w:pStyle w:val="ListParagraph"/>
        <w:numPr>
          <w:ilvl w:val="0"/>
          <w:numId w:val="1"/>
        </w:numPr>
        <w:rPr>
          <w:ins w:id="258" w:author="John Dooley" w:date="2018-08-10T14:38:00Z"/>
          <w:sz w:val="20"/>
          <w:szCs w:val="20"/>
        </w:rPr>
      </w:pPr>
      <w:ins w:id="259" w:author="John Dooley" w:date="2018-08-10T14:38:00Z">
        <w:r>
          <w:rPr>
            <w:sz w:val="20"/>
            <w:szCs w:val="20"/>
          </w:rPr>
          <w:t>Filter passband is 2485-2495 MHz, i.e. the transition band starts already inside the 2.4 GHz Terrestrial Band.</w:t>
        </w:r>
      </w:ins>
    </w:p>
    <w:p w:rsidR="003C716D" w:rsidRDefault="003C716D" w:rsidP="003C716D">
      <w:pPr>
        <w:pStyle w:val="ListParagraph"/>
        <w:ind w:left="720" w:firstLine="0"/>
        <w:rPr>
          <w:ins w:id="260" w:author="John Dooley" w:date="2018-08-10T14:38:00Z"/>
          <w:sz w:val="20"/>
          <w:szCs w:val="20"/>
        </w:rPr>
      </w:pPr>
    </w:p>
    <w:p w:rsidR="003C716D" w:rsidRDefault="003C716D" w:rsidP="003C716D">
      <w:pPr>
        <w:pStyle w:val="ListParagraph"/>
        <w:numPr>
          <w:ilvl w:val="0"/>
          <w:numId w:val="1"/>
        </w:numPr>
        <w:rPr>
          <w:ins w:id="261" w:author="John Dooley" w:date="2018-08-10T14:38:00Z"/>
          <w:sz w:val="20"/>
          <w:szCs w:val="20"/>
        </w:rPr>
      </w:pPr>
      <w:ins w:id="262" w:author="John Dooley" w:date="2018-08-10T14:38:00Z">
        <w:r>
          <w:rPr>
            <w:sz w:val="20"/>
            <w:szCs w:val="20"/>
          </w:rPr>
          <w:t>Two different filter topologies have been considered. Both are based on publicly available data sheets for 2.4 GHz (ISM) and 2.3 and 2.5 GHz (LTE) acoustic wave filters targeted for mobile equipment.</w:t>
        </w:r>
      </w:ins>
    </w:p>
    <w:p w:rsidR="003C716D" w:rsidRDefault="003C716D" w:rsidP="003C716D">
      <w:pPr>
        <w:pStyle w:val="ListParagraph"/>
        <w:ind w:left="0" w:firstLine="0"/>
        <w:rPr>
          <w:ins w:id="263" w:author="John Dooley" w:date="2018-08-10T14:38:00Z"/>
          <w:sz w:val="20"/>
          <w:szCs w:val="20"/>
        </w:rPr>
      </w:pPr>
    </w:p>
    <w:p w:rsidR="003C716D" w:rsidRDefault="003C716D" w:rsidP="003C716D">
      <w:pPr>
        <w:pStyle w:val="ListParagraph"/>
        <w:numPr>
          <w:ilvl w:val="1"/>
          <w:numId w:val="1"/>
        </w:numPr>
        <w:rPr>
          <w:ins w:id="264" w:author="John Dooley" w:date="2018-08-10T14:38:00Z"/>
          <w:sz w:val="20"/>
          <w:szCs w:val="20"/>
        </w:rPr>
      </w:pPr>
      <w:ins w:id="265" w:author="John Dooley" w:date="2018-08-10T14:38:00Z">
        <w:r>
          <w:rPr>
            <w:sz w:val="20"/>
            <w:szCs w:val="20"/>
          </w:rPr>
          <w:t>The first filter achieves 11 dB min., 13 dB typical attenuation at 12 MHz offset from the passband edge, with max. 3 dB insertion loss.</w:t>
        </w:r>
      </w:ins>
    </w:p>
    <w:p w:rsidR="003C716D" w:rsidRDefault="003C716D" w:rsidP="003C716D">
      <w:pPr>
        <w:pStyle w:val="ListParagraph"/>
        <w:ind w:left="1440" w:firstLine="0"/>
        <w:rPr>
          <w:ins w:id="266" w:author="John Dooley" w:date="2018-08-10T14:38:00Z"/>
          <w:sz w:val="20"/>
          <w:szCs w:val="20"/>
        </w:rPr>
      </w:pPr>
    </w:p>
    <w:p w:rsidR="003C716D" w:rsidRDefault="003C716D" w:rsidP="003C716D">
      <w:pPr>
        <w:pStyle w:val="ListParagraph"/>
        <w:numPr>
          <w:ilvl w:val="1"/>
          <w:numId w:val="1"/>
        </w:numPr>
        <w:rPr>
          <w:ins w:id="267" w:author="John Dooley" w:date="2018-08-10T14:38:00Z"/>
          <w:sz w:val="20"/>
          <w:szCs w:val="20"/>
        </w:rPr>
      </w:pPr>
      <w:ins w:id="268" w:author="John Dooley" w:date="2018-08-10T14:38:00Z">
        <w:r>
          <w:rPr>
            <w:sz w:val="20"/>
            <w:szCs w:val="20"/>
          </w:rPr>
          <w:t>The second filter achieves 20 dB min., 29 dB typical attenuation at 18.5 MHz offset from the passband edge, with max. 2.5 dB insertion loss.</w:t>
        </w:r>
      </w:ins>
    </w:p>
    <w:p w:rsidR="003C716D" w:rsidRDefault="003C716D" w:rsidP="003C716D">
      <w:pPr>
        <w:pStyle w:val="ListParagraph"/>
        <w:ind w:left="1440" w:firstLine="0"/>
        <w:rPr>
          <w:ins w:id="269" w:author="John Dooley" w:date="2018-08-10T14:38:00Z"/>
          <w:sz w:val="20"/>
          <w:szCs w:val="20"/>
        </w:rPr>
      </w:pPr>
    </w:p>
    <w:p w:rsidR="003C716D" w:rsidRPr="00B66413" w:rsidRDefault="003C716D" w:rsidP="003C716D">
      <w:pPr>
        <w:pStyle w:val="ListParagraph"/>
        <w:numPr>
          <w:ilvl w:val="0"/>
          <w:numId w:val="1"/>
        </w:numPr>
        <w:rPr>
          <w:ins w:id="270" w:author="John Dooley" w:date="2018-08-10T14:38:00Z"/>
          <w:sz w:val="20"/>
          <w:szCs w:val="20"/>
        </w:rPr>
      </w:pPr>
      <w:ins w:id="271" w:author="John Dooley" w:date="2018-08-10T14:38:00Z">
        <w:r>
          <w:rPr>
            <w:sz w:val="20"/>
            <w:szCs w:val="20"/>
          </w:rPr>
          <w:t>Additional insertion loss is added due to switches and mismatch losses to a total of 4 dB on the passband.</w:t>
        </w:r>
      </w:ins>
    </w:p>
    <w:p w:rsidR="003C716D" w:rsidRDefault="003C716D" w:rsidP="003C716D">
      <w:pPr>
        <w:rPr>
          <w:ins w:id="272" w:author="John Dooley" w:date="2018-08-10T14:38:00Z"/>
          <w:sz w:val="20"/>
          <w:szCs w:val="20"/>
        </w:rPr>
      </w:pPr>
    </w:p>
    <w:p w:rsidR="003C716D" w:rsidRDefault="003C716D" w:rsidP="003C716D">
      <w:pPr>
        <w:rPr>
          <w:ins w:id="273" w:author="John Dooley" w:date="2018-08-10T14:38:00Z"/>
          <w:sz w:val="20"/>
          <w:szCs w:val="20"/>
        </w:rPr>
      </w:pPr>
      <w:ins w:id="274" w:author="John Dooley" w:date="2018-08-10T14:38:00Z">
        <w:r>
          <w:rPr>
            <w:sz w:val="20"/>
            <w:szCs w:val="20"/>
          </w:rPr>
          <w:t>The emission profiles are shown in Figure 6.6.1-2.</w:t>
        </w:r>
      </w:ins>
    </w:p>
    <w:p w:rsidR="003C716D" w:rsidRDefault="003C716D" w:rsidP="003C716D">
      <w:pPr>
        <w:rPr>
          <w:ins w:id="275" w:author="John Dooley" w:date="2018-08-10T14:38:00Z"/>
          <w:sz w:val="20"/>
          <w:szCs w:val="20"/>
        </w:rPr>
      </w:pPr>
    </w:p>
    <w:p w:rsidR="003C716D" w:rsidRDefault="0046703F" w:rsidP="003C716D">
      <w:pPr>
        <w:ind w:left="-567" w:right="-1152"/>
        <w:rPr>
          <w:ins w:id="276" w:author="John Dooley" w:date="2018-08-10T14:38:00Z"/>
          <w:sz w:val="20"/>
          <w:szCs w:val="20"/>
        </w:rPr>
      </w:pPr>
      <w:ins w:id="277" w:author="John Dooley" w:date="2018-08-10T14:10:00Z">
        <w:r w:rsidRPr="00720B77">
          <w:rPr>
            <w:noProof/>
            <w:sz w:val="20"/>
            <w:szCs w:val="20"/>
          </w:rPr>
          <w:pict>
            <v:shape id="Picture 4" o:spid="_x0000_i1029" type="#_x0000_t75" alt="" style="width:264pt;height:224pt;visibility:visible;mso-width-percent:0;mso-height-percent:0;mso-width-percent:0;mso-height-percent:0">
              <v:imagedata r:id="rId20" o:title="" cropleft="-1f" cropright="3783f"/>
            </v:shape>
          </w:pict>
        </w:r>
        <w:r w:rsidRPr="00720B77">
          <w:rPr>
            <w:noProof/>
            <w:sz w:val="20"/>
            <w:szCs w:val="20"/>
          </w:rPr>
          <w:pict>
            <v:shape id="Picture 14" o:spid="_x0000_i1028" type="#_x0000_t75" alt="" style="width:264pt;height:224pt;visibility:visible;mso-width-percent:0;mso-height-percent:0;mso-width-percent:0;mso-height-percent:0">
              <v:imagedata r:id="rId21" o:title="" cropleft="5944f"/>
            </v:shape>
          </w:pict>
        </w:r>
      </w:ins>
    </w:p>
    <w:p w:rsidR="003C716D" w:rsidRPr="007B0AD6" w:rsidRDefault="003C716D" w:rsidP="003C716D">
      <w:pPr>
        <w:ind w:left="720"/>
        <w:contextualSpacing/>
        <w:rPr>
          <w:ins w:id="278" w:author="John Dooley" w:date="2018-08-10T14:38:00Z"/>
          <w:sz w:val="20"/>
          <w:szCs w:val="20"/>
        </w:rPr>
      </w:pPr>
    </w:p>
    <w:p w:rsidR="003C716D" w:rsidRPr="007B0AD6" w:rsidRDefault="003C716D" w:rsidP="003C716D">
      <w:pPr>
        <w:numPr>
          <w:ilvl w:val="0"/>
          <w:numId w:val="1"/>
        </w:numPr>
        <w:contextualSpacing/>
        <w:rPr>
          <w:ins w:id="279" w:author="John Dooley" w:date="2018-08-10T14:38:00Z"/>
          <w:sz w:val="20"/>
          <w:szCs w:val="20"/>
        </w:rPr>
      </w:pPr>
      <w:ins w:id="280" w:author="John Dooley" w:date="2018-08-10T14:38:00Z">
        <w:r w:rsidRPr="00AB4846">
          <w:rPr>
            <w:rFonts w:eastAsia="Calibri"/>
            <w:sz w:val="20"/>
            <w:szCs w:val="20"/>
          </w:rPr>
          <w:t>Figure 6.</w:t>
        </w:r>
        <w:r>
          <w:rPr>
            <w:rFonts w:eastAsia="Calibri"/>
            <w:sz w:val="20"/>
            <w:szCs w:val="20"/>
          </w:rPr>
          <w:t>6</w:t>
        </w:r>
        <w:r w:rsidRPr="00AB4846">
          <w:rPr>
            <w:rFonts w:eastAsia="Calibri"/>
            <w:sz w:val="20"/>
            <w:szCs w:val="20"/>
          </w:rPr>
          <w:t>.</w:t>
        </w:r>
        <w:r>
          <w:rPr>
            <w:rFonts w:eastAsia="Calibri"/>
            <w:sz w:val="20"/>
            <w:szCs w:val="20"/>
          </w:rPr>
          <w:t>1</w:t>
        </w:r>
        <w:r w:rsidRPr="00AB4846">
          <w:rPr>
            <w:rFonts w:eastAsia="Calibri"/>
            <w:sz w:val="20"/>
            <w:szCs w:val="20"/>
          </w:rPr>
          <w:t>-</w:t>
        </w:r>
        <w:r>
          <w:rPr>
            <w:rFonts w:eastAsia="Calibri"/>
            <w:sz w:val="20"/>
            <w:szCs w:val="20"/>
          </w:rPr>
          <w:t>2</w:t>
        </w:r>
        <w:r w:rsidRPr="00AB4846">
          <w:rPr>
            <w:rFonts w:eastAsia="Calibri"/>
            <w:sz w:val="20"/>
            <w:szCs w:val="20"/>
          </w:rPr>
          <w:t xml:space="preserve">:  </w:t>
        </w:r>
        <w:r>
          <w:rPr>
            <w:rFonts w:eastAsia="Calibri"/>
            <w:sz w:val="20"/>
            <w:szCs w:val="20"/>
          </w:rPr>
          <w:t>Worst Case UE TX Leakage to ISM Band Including Band Filter Minimum Response</w:t>
        </w:r>
      </w:ins>
    </w:p>
    <w:p w:rsidR="003C716D" w:rsidRPr="00AB4846" w:rsidRDefault="003C716D" w:rsidP="003C716D">
      <w:pPr>
        <w:ind w:left="720"/>
        <w:contextualSpacing/>
        <w:rPr>
          <w:ins w:id="281" w:author="John Dooley" w:date="2018-08-10T14:38:00Z"/>
          <w:sz w:val="20"/>
          <w:szCs w:val="20"/>
        </w:rPr>
      </w:pPr>
    </w:p>
    <w:p w:rsidR="003C716D" w:rsidRDefault="003C716D" w:rsidP="003C716D">
      <w:pPr>
        <w:rPr>
          <w:ins w:id="282" w:author="John Dooley" w:date="2018-08-10T14:38:00Z"/>
          <w:sz w:val="20"/>
          <w:szCs w:val="20"/>
        </w:rPr>
      </w:pPr>
    </w:p>
    <w:p w:rsidR="003C716D" w:rsidRDefault="003C716D" w:rsidP="003C716D">
      <w:pPr>
        <w:pStyle w:val="Heading2"/>
        <w:rPr>
          <w:ins w:id="283" w:author="John Dooley" w:date="2018-08-10T14:38:00Z"/>
          <w:sz w:val="24"/>
        </w:rPr>
      </w:pPr>
      <w:ins w:id="284" w:author="John Dooley" w:date="2018-08-10T14:38:00Z">
        <w:r>
          <w:rPr>
            <w:sz w:val="24"/>
            <w:lang w:val="en-US"/>
          </w:rPr>
          <w:t>6.5</w:t>
        </w:r>
        <w:r w:rsidRPr="00776A81">
          <w:rPr>
            <w:sz w:val="24"/>
            <w:lang w:val="en-US"/>
          </w:rPr>
          <w:t>.</w:t>
        </w:r>
        <w:r>
          <w:rPr>
            <w:sz w:val="24"/>
            <w:lang w:val="en-US"/>
          </w:rPr>
          <w:t>2</w:t>
        </w:r>
        <w:r w:rsidRPr="00776A81">
          <w:rPr>
            <w:sz w:val="24"/>
            <w:lang w:val="en-US"/>
          </w:rPr>
          <w:tab/>
        </w:r>
        <w:r>
          <w:rPr>
            <w:sz w:val="24"/>
            <w:lang w:val="en-US"/>
          </w:rPr>
          <w:t xml:space="preserve">UE </w:t>
        </w:r>
        <w:r>
          <w:rPr>
            <w:sz w:val="24"/>
          </w:rPr>
          <w:t>Typical Emissions to ISM band</w:t>
        </w:r>
      </w:ins>
    </w:p>
    <w:p w:rsidR="003C716D" w:rsidRDefault="003C716D" w:rsidP="003C716D">
      <w:pPr>
        <w:rPr>
          <w:ins w:id="285" w:author="John Dooley" w:date="2018-08-10T14:38:00Z"/>
          <w:sz w:val="20"/>
          <w:szCs w:val="20"/>
        </w:rPr>
      </w:pPr>
      <w:ins w:id="286" w:author="John Dooley" w:date="2018-08-10T14:38:00Z">
        <w:r>
          <w:rPr>
            <w:sz w:val="20"/>
            <w:szCs w:val="20"/>
            <w:lang w:val="en-GB"/>
          </w:rPr>
          <w:t>The previous section detailed worst case unwanted emissions at the RAN4 minimum RF performance level, which is not a typical design target for any equipment. The worst case conditions may occur across extreme temperature and operating conditions (e.g. voltage) and manufacturing tolerances, and the UE must still meet the regulatory requirements at these corners.</w:t>
        </w:r>
      </w:ins>
    </w:p>
    <w:p w:rsidR="003C716D" w:rsidRDefault="003C716D" w:rsidP="003C716D">
      <w:pPr>
        <w:rPr>
          <w:ins w:id="287" w:author="John Dooley" w:date="2018-08-10T14:38:00Z"/>
          <w:sz w:val="20"/>
          <w:szCs w:val="20"/>
        </w:rPr>
      </w:pPr>
    </w:p>
    <w:p w:rsidR="003C716D" w:rsidRPr="00F52440" w:rsidRDefault="003C716D" w:rsidP="003C716D">
      <w:pPr>
        <w:pStyle w:val="ListParagraph"/>
        <w:numPr>
          <w:ilvl w:val="0"/>
          <w:numId w:val="1"/>
        </w:numPr>
        <w:rPr>
          <w:ins w:id="288" w:author="John Dooley" w:date="2018-08-10T14:38:00Z"/>
          <w:sz w:val="20"/>
          <w:szCs w:val="20"/>
        </w:rPr>
      </w:pPr>
      <w:ins w:id="289" w:author="John Dooley" w:date="2018-08-10T14:38:00Z">
        <w:r w:rsidRPr="00B66413">
          <w:rPr>
            <w:sz w:val="20"/>
            <w:szCs w:val="20"/>
            <w:lang w:val="en-GB"/>
          </w:rPr>
          <w:t xml:space="preserve">Normally, e.g. 3-5 dB margin is targeted for ACLR in typical testing conditions, which indicates e.g. 5-7 dB improvement in the alternate adjacent channel (where 5th order intermodulation dominates the spectrum). </w:t>
        </w:r>
        <w:r>
          <w:rPr>
            <w:sz w:val="20"/>
            <w:szCs w:val="20"/>
            <w:lang w:val="en-GB"/>
          </w:rPr>
          <w:t>This directly reduces the PA and antenna output unwanted emissions on the ISM band by a similar amount, depending on the offset from the channel edge.</w:t>
        </w:r>
      </w:ins>
    </w:p>
    <w:p w:rsidR="003C716D" w:rsidRDefault="003C716D" w:rsidP="003C716D">
      <w:pPr>
        <w:pStyle w:val="ListParagraph"/>
        <w:ind w:left="720" w:firstLine="0"/>
        <w:rPr>
          <w:ins w:id="290" w:author="John Dooley" w:date="2018-08-10T14:38:00Z"/>
          <w:sz w:val="20"/>
          <w:szCs w:val="20"/>
        </w:rPr>
      </w:pPr>
    </w:p>
    <w:p w:rsidR="003C716D" w:rsidRPr="00BC52B6" w:rsidRDefault="003C716D" w:rsidP="003C716D">
      <w:pPr>
        <w:pStyle w:val="ListParagraph"/>
        <w:numPr>
          <w:ilvl w:val="0"/>
          <w:numId w:val="1"/>
        </w:numPr>
        <w:rPr>
          <w:ins w:id="291" w:author="John Dooley" w:date="2018-08-10T14:38:00Z"/>
          <w:sz w:val="20"/>
          <w:szCs w:val="20"/>
        </w:rPr>
      </w:pPr>
      <w:ins w:id="292" w:author="John Dooley" w:date="2018-08-10T14:38:00Z">
        <w:r>
          <w:rPr>
            <w:sz w:val="20"/>
            <w:szCs w:val="20"/>
            <w:lang w:val="en-GB"/>
          </w:rPr>
          <w:lastRenderedPageBreak/>
          <w:t>The band filter typical performance at the stopband edge depends heavily on temperature (due to frequency drift) and manufacturing tolerances. Across the stopband, it is normal to see 15-20 dB differences in the minimum vs. typical attenuation. Again, in typical conditions and across UE samples, the ISM band unwanted emissions will be lower than in the simulations shown above.</w:t>
        </w:r>
      </w:ins>
    </w:p>
    <w:p w:rsidR="003C716D" w:rsidRDefault="003C716D" w:rsidP="003C716D">
      <w:pPr>
        <w:rPr>
          <w:ins w:id="293" w:author="John Dooley" w:date="2018-08-10T14:38:00Z"/>
          <w:sz w:val="20"/>
          <w:szCs w:val="20"/>
        </w:rPr>
      </w:pPr>
    </w:p>
    <w:p w:rsidR="003C716D" w:rsidRDefault="003C716D" w:rsidP="003C716D">
      <w:pPr>
        <w:rPr>
          <w:ins w:id="294" w:author="John Dooley" w:date="2018-08-10T14:38:00Z"/>
          <w:sz w:val="20"/>
          <w:szCs w:val="20"/>
        </w:rPr>
      </w:pPr>
      <w:ins w:id="295" w:author="John Dooley" w:date="2018-08-10T14:38:00Z">
        <w:r>
          <w:rPr>
            <w:sz w:val="20"/>
            <w:szCs w:val="20"/>
            <w:lang w:val="en-GB"/>
          </w:rPr>
          <w:t>When fewer than the maximum amount of resource blocks are scheduled for a UE, the transmission bandwidth is narrower, and also the PA spectral regrowth does not reach as far as when transmitting full resource allocation. The emissions vs. resource allocation size was simulated, assuming minimum RF performance and Topology 1 filter (min. response, not typical). The results are shown in Figure 6.6.2-1 for QPSK modulation. In all cases, the transmit output power was set at maximum, i.e. 22 or 23 dBm depending on the allowed MPR.</w:t>
        </w:r>
      </w:ins>
    </w:p>
    <w:p w:rsidR="003C716D" w:rsidRDefault="003C716D" w:rsidP="003C716D">
      <w:pPr>
        <w:rPr>
          <w:ins w:id="296" w:author="John Dooley" w:date="2018-08-10T14:38:00Z"/>
          <w:sz w:val="20"/>
          <w:szCs w:val="20"/>
        </w:rPr>
      </w:pPr>
    </w:p>
    <w:p w:rsidR="003C716D" w:rsidRDefault="0046703F" w:rsidP="003C716D">
      <w:pPr>
        <w:ind w:left="-567" w:right="-1152"/>
        <w:rPr>
          <w:ins w:id="297" w:author="John Dooley" w:date="2018-08-10T14:38:00Z"/>
          <w:sz w:val="20"/>
          <w:szCs w:val="20"/>
        </w:rPr>
      </w:pPr>
      <w:bookmarkStart w:id="298" w:name="_GoBack"/>
      <w:bookmarkEnd w:id="298"/>
      <w:ins w:id="299" w:author="John Dooley" w:date="2018-08-10T14:10:00Z">
        <w:r w:rsidRPr="00720B77">
          <w:rPr>
            <w:noProof/>
            <w:sz w:val="20"/>
            <w:szCs w:val="20"/>
          </w:rPr>
          <w:pict>
            <v:shape id="Picture 16" o:spid="_x0000_i1027" type="#_x0000_t75" alt="" style="width:274.65pt;height:226pt;visibility:visible;mso-width-percent:0;mso-height-percent:0;mso-width-percent:0;mso-height-percent:0">
              <v:imagedata r:id="rId22" o:title="" cropright="4011f"/>
            </v:shape>
          </w:pict>
        </w:r>
        <w:r w:rsidRPr="00720B77">
          <w:rPr>
            <w:noProof/>
            <w:sz w:val="20"/>
            <w:szCs w:val="20"/>
          </w:rPr>
          <w:pict>
            <v:shape id="Picture 17" o:spid="_x0000_i1026" type="#_x0000_t75" alt="" style="width:274.65pt;height:225.35pt;visibility:visible;mso-width-percent:0;mso-height-percent:0;mso-width-percent:0;mso-height-percent:0">
              <v:imagedata r:id="rId23" o:title="" cropleft="2442f"/>
            </v:shape>
          </w:pict>
        </w:r>
      </w:ins>
    </w:p>
    <w:p w:rsidR="003C716D" w:rsidRDefault="003C716D" w:rsidP="003C716D">
      <w:pPr>
        <w:ind w:left="-567" w:right="-1152"/>
        <w:rPr>
          <w:ins w:id="300" w:author="John Dooley" w:date="2018-08-10T14:38:00Z"/>
          <w:sz w:val="20"/>
          <w:szCs w:val="20"/>
        </w:rPr>
      </w:pPr>
    </w:p>
    <w:p w:rsidR="003C716D" w:rsidRPr="00AB4846" w:rsidRDefault="003C716D" w:rsidP="003C716D">
      <w:pPr>
        <w:numPr>
          <w:ilvl w:val="0"/>
          <w:numId w:val="1"/>
        </w:numPr>
        <w:contextualSpacing/>
        <w:rPr>
          <w:ins w:id="301" w:author="John Dooley" w:date="2018-08-10T14:38:00Z"/>
          <w:sz w:val="20"/>
          <w:szCs w:val="20"/>
        </w:rPr>
      </w:pPr>
      <w:ins w:id="302" w:author="John Dooley" w:date="2018-08-10T14:38:00Z">
        <w:r w:rsidRPr="00AB4846">
          <w:rPr>
            <w:rFonts w:eastAsia="Calibri"/>
            <w:sz w:val="20"/>
            <w:szCs w:val="20"/>
          </w:rPr>
          <w:t>Figure 6.</w:t>
        </w:r>
        <w:r>
          <w:rPr>
            <w:rFonts w:eastAsia="Calibri"/>
            <w:sz w:val="20"/>
            <w:szCs w:val="20"/>
          </w:rPr>
          <w:t>6</w:t>
        </w:r>
        <w:r w:rsidRPr="00AB4846">
          <w:rPr>
            <w:rFonts w:eastAsia="Calibri"/>
            <w:sz w:val="20"/>
            <w:szCs w:val="20"/>
          </w:rPr>
          <w:t>.</w:t>
        </w:r>
        <w:r>
          <w:rPr>
            <w:rFonts w:eastAsia="Calibri"/>
            <w:sz w:val="20"/>
            <w:szCs w:val="20"/>
          </w:rPr>
          <w:t>2</w:t>
        </w:r>
        <w:r w:rsidRPr="00AB4846">
          <w:rPr>
            <w:rFonts w:eastAsia="Calibri"/>
            <w:sz w:val="20"/>
            <w:szCs w:val="20"/>
          </w:rPr>
          <w:t>-</w:t>
        </w:r>
        <w:r>
          <w:rPr>
            <w:rFonts w:eastAsia="Calibri"/>
            <w:sz w:val="20"/>
            <w:szCs w:val="20"/>
          </w:rPr>
          <w:t>1</w:t>
        </w:r>
        <w:r w:rsidRPr="00AB4846">
          <w:rPr>
            <w:rFonts w:eastAsia="Calibri"/>
            <w:sz w:val="20"/>
            <w:szCs w:val="20"/>
          </w:rPr>
          <w:t xml:space="preserve">:  </w:t>
        </w:r>
        <w:r>
          <w:rPr>
            <w:rFonts w:eastAsia="Calibri"/>
            <w:sz w:val="20"/>
            <w:szCs w:val="20"/>
          </w:rPr>
          <w:t>Worst case UE TX leakage to ISM band including band filter minimum response</w:t>
        </w:r>
      </w:ins>
    </w:p>
    <w:p w:rsidR="003C716D" w:rsidRDefault="003C716D" w:rsidP="003C716D">
      <w:pPr>
        <w:rPr>
          <w:ins w:id="303" w:author="John Dooley" w:date="2018-08-10T14:38:00Z"/>
          <w:sz w:val="20"/>
          <w:szCs w:val="20"/>
        </w:rPr>
      </w:pPr>
    </w:p>
    <w:p w:rsidR="003C716D" w:rsidRPr="008A5DE6" w:rsidRDefault="003C716D" w:rsidP="003C716D">
      <w:pPr>
        <w:rPr>
          <w:ins w:id="304" w:author="John Dooley" w:date="2018-08-10T14:38:00Z"/>
          <w:sz w:val="20"/>
          <w:szCs w:val="20"/>
        </w:rPr>
      </w:pPr>
    </w:p>
    <w:p w:rsidR="003C716D" w:rsidRDefault="003C716D" w:rsidP="003C716D">
      <w:pPr>
        <w:rPr>
          <w:ins w:id="305" w:author="John Dooley" w:date="2018-08-10T14:38:00Z"/>
          <w:sz w:val="20"/>
          <w:szCs w:val="20"/>
        </w:rPr>
      </w:pPr>
      <w:ins w:id="306" w:author="John Dooley" w:date="2018-08-10T14:38:00Z">
        <w:r>
          <w:rPr>
            <w:sz w:val="20"/>
            <w:szCs w:val="20"/>
            <w:lang w:val="en-GB"/>
          </w:rPr>
          <w:t>The weight of the practical worst case emissions on Wi-Fi channel 11 (integrated over 2452-2472 MHz) are from below -65 dBm/20MHz to below -40 dBm/20MHz, with only the largest uplink allocations creating emissions reaching towards -35 dBm/20MHz. Regarding emissions to the Bluetooth advertising channel at 2480 MHz, the bulk of the worst case emissions are below -40 to -35 dBm/MHz, and in some rare cases the emissions may reach up to -20 or even -16 dBm/MHz. Modulation indexes 16-QAM and above will in practice show slightly lower emission profile.</w:t>
        </w:r>
      </w:ins>
    </w:p>
    <w:p w:rsidR="003C716D" w:rsidRDefault="003C716D" w:rsidP="003C716D">
      <w:pPr>
        <w:rPr>
          <w:ins w:id="307" w:author="John Dooley" w:date="2018-08-10T14:38:00Z"/>
          <w:sz w:val="20"/>
          <w:szCs w:val="20"/>
        </w:rPr>
      </w:pPr>
    </w:p>
    <w:p w:rsidR="003C716D" w:rsidRDefault="003C716D" w:rsidP="003C716D">
      <w:pPr>
        <w:rPr>
          <w:ins w:id="308" w:author="John Dooley" w:date="2018-08-10T14:38:00Z"/>
          <w:sz w:val="20"/>
          <w:szCs w:val="20"/>
        </w:rPr>
      </w:pPr>
      <w:ins w:id="309" w:author="John Dooley" w:date="2018-08-10T14:38:00Z">
        <w:r>
          <w:rPr>
            <w:sz w:val="20"/>
            <w:szCs w:val="20"/>
            <w:lang w:val="en-GB"/>
          </w:rPr>
          <w:t>LTE also uses closed loop power control in uplink, and it is not typical for a UE to transmit at maximum power, especially in small cell deployment scenarios where path loss to the serving base station is relatively small. The unwanted emissions of practical UE transmitters will reduce in the average by at least 1:1 in dB scale, when the output power is lowered from maximum. To estimate this effect, a system simulation was done with Urban Macro and Urban Micro TD-LTE scenarios, and the cumulative distribution functions of the resulting output power is shown in figure 6.6.2-2.</w:t>
        </w:r>
      </w:ins>
    </w:p>
    <w:p w:rsidR="003C716D" w:rsidRDefault="003C716D" w:rsidP="003C716D">
      <w:pPr>
        <w:rPr>
          <w:ins w:id="310" w:author="John Dooley" w:date="2018-08-10T14:38:00Z"/>
          <w:sz w:val="20"/>
          <w:szCs w:val="20"/>
        </w:rPr>
      </w:pPr>
    </w:p>
    <w:p w:rsidR="003C716D" w:rsidRDefault="0046703F" w:rsidP="003C716D">
      <w:pPr>
        <w:jc w:val="center"/>
        <w:rPr>
          <w:ins w:id="311" w:author="John Dooley" w:date="2018-08-10T14:38:00Z"/>
          <w:sz w:val="20"/>
          <w:szCs w:val="20"/>
        </w:rPr>
      </w:pPr>
      <w:ins w:id="312" w:author="John Dooley" w:date="2018-08-10T14:10:00Z">
        <w:r w:rsidRPr="00720B77">
          <w:rPr>
            <w:noProof/>
            <w:sz w:val="20"/>
            <w:szCs w:val="20"/>
          </w:rPr>
          <w:lastRenderedPageBreak/>
          <w:pict>
            <v:shape id="Picture 11" o:spid="_x0000_i1025" type="#_x0000_t75" alt="" style="width:233.35pt;height:224pt;visibility:visible;mso-width-percent:0;mso-height-percent:0;mso-width-percent:0;mso-height-percent:0">
              <v:imagedata r:id="rId24" o:title="" croptop="2920f" cropbottom="1351f" cropleft="2722f" cropright="14943f"/>
            </v:shape>
          </w:pict>
        </w:r>
      </w:ins>
    </w:p>
    <w:p w:rsidR="003C716D" w:rsidRDefault="003C716D" w:rsidP="003C716D">
      <w:pPr>
        <w:jc w:val="center"/>
        <w:rPr>
          <w:ins w:id="313" w:author="John Dooley" w:date="2018-08-10T14:38:00Z"/>
          <w:sz w:val="20"/>
          <w:szCs w:val="20"/>
        </w:rPr>
      </w:pPr>
    </w:p>
    <w:p w:rsidR="003C716D" w:rsidRPr="0009270E" w:rsidRDefault="003C716D" w:rsidP="003C716D">
      <w:pPr>
        <w:numPr>
          <w:ilvl w:val="0"/>
          <w:numId w:val="1"/>
        </w:numPr>
        <w:contextualSpacing/>
        <w:rPr>
          <w:ins w:id="314" w:author="John Dooley" w:date="2018-08-10T14:38:00Z"/>
          <w:sz w:val="20"/>
          <w:szCs w:val="20"/>
        </w:rPr>
      </w:pPr>
      <w:ins w:id="315" w:author="John Dooley" w:date="2018-08-10T14:38:00Z">
        <w:r>
          <w:rPr>
            <w:rFonts w:eastAsia="Calibri"/>
            <w:sz w:val="20"/>
            <w:szCs w:val="20"/>
          </w:rPr>
          <w:t>Figure 6.6</w:t>
        </w:r>
        <w:r w:rsidRPr="0009270E">
          <w:rPr>
            <w:rFonts w:eastAsia="Calibri"/>
            <w:sz w:val="20"/>
            <w:szCs w:val="20"/>
          </w:rPr>
          <w:t>.2-</w:t>
        </w:r>
        <w:r>
          <w:rPr>
            <w:rFonts w:eastAsia="Calibri"/>
            <w:sz w:val="20"/>
            <w:szCs w:val="20"/>
          </w:rPr>
          <w:t>2</w:t>
        </w:r>
        <w:r w:rsidRPr="0009270E">
          <w:rPr>
            <w:rFonts w:eastAsia="Calibri"/>
            <w:sz w:val="20"/>
            <w:szCs w:val="20"/>
          </w:rPr>
          <w:t xml:space="preserve">:  </w:t>
        </w:r>
        <w:r>
          <w:rPr>
            <w:rFonts w:eastAsia="Calibri"/>
            <w:sz w:val="20"/>
            <w:szCs w:val="20"/>
          </w:rPr>
          <w:t>System Simulation of Total UL TX Power CDF in Urban Macro and Micro Scenarios</w:t>
        </w:r>
      </w:ins>
    </w:p>
    <w:p w:rsidR="003C716D" w:rsidRDefault="003C716D" w:rsidP="003C716D">
      <w:pPr>
        <w:rPr>
          <w:ins w:id="316" w:author="John Dooley" w:date="2018-08-10T14:38:00Z"/>
          <w:sz w:val="20"/>
          <w:szCs w:val="20"/>
        </w:rPr>
      </w:pPr>
    </w:p>
    <w:p w:rsidR="003C716D" w:rsidRDefault="003C716D" w:rsidP="003C716D">
      <w:pPr>
        <w:rPr>
          <w:ins w:id="317" w:author="John Dooley" w:date="2018-08-10T14:38:00Z"/>
          <w:sz w:val="20"/>
          <w:szCs w:val="20"/>
          <w:lang w:val="en-GB"/>
        </w:rPr>
      </w:pPr>
    </w:p>
    <w:p w:rsidR="003C716D" w:rsidRPr="00BC52B6" w:rsidRDefault="003C716D" w:rsidP="003C716D">
      <w:pPr>
        <w:rPr>
          <w:ins w:id="318" w:author="John Dooley" w:date="2018-08-10T14:38:00Z"/>
          <w:sz w:val="20"/>
          <w:szCs w:val="20"/>
        </w:rPr>
      </w:pPr>
      <w:ins w:id="319" w:author="John Dooley" w:date="2018-08-10T14:38:00Z">
        <w:r>
          <w:rPr>
            <w:sz w:val="20"/>
            <w:szCs w:val="20"/>
            <w:lang w:val="en-GB"/>
          </w:rPr>
          <w:t>The simulation results indicate that 50% of the UE transmissions occur at power levels below about 2-3 dBm in Urban Micro deployment. In indoor or small cell environments, typical transmit powers could be even lower. This presents a significant reduction in the leakage power towards the ISM band, compared to the worst case figures shown above.</w:t>
        </w:r>
      </w:ins>
    </w:p>
    <w:p w:rsidR="003C716D" w:rsidRDefault="003C716D" w:rsidP="003C716D">
      <w:pPr>
        <w:rPr>
          <w:ins w:id="320" w:author="John Dooley" w:date="2018-08-10T14:38:00Z"/>
          <w:sz w:val="20"/>
          <w:szCs w:val="20"/>
        </w:rPr>
      </w:pPr>
    </w:p>
    <w:p w:rsidR="003C716D" w:rsidRDefault="003C716D" w:rsidP="003C716D">
      <w:pPr>
        <w:rPr>
          <w:ins w:id="321" w:author="John Dooley" w:date="2018-08-10T14:38:00Z"/>
          <w:sz w:val="20"/>
          <w:szCs w:val="20"/>
        </w:rPr>
      </w:pPr>
      <w:ins w:id="322" w:author="John Dooley" w:date="2018-08-10T14:38:00Z">
        <w:r>
          <w:rPr>
            <w:sz w:val="20"/>
            <w:szCs w:val="20"/>
          </w:rPr>
          <w:t>Conclusions regarding typical emissions leaking to the ISM band:</w:t>
        </w:r>
      </w:ins>
    </w:p>
    <w:p w:rsidR="003C716D" w:rsidRDefault="003C716D" w:rsidP="003C716D">
      <w:pPr>
        <w:rPr>
          <w:ins w:id="323" w:author="John Dooley" w:date="2018-08-10T14:38:00Z"/>
          <w:sz w:val="20"/>
          <w:szCs w:val="20"/>
        </w:rPr>
      </w:pPr>
    </w:p>
    <w:p w:rsidR="003C716D" w:rsidRDefault="003C716D" w:rsidP="003C716D">
      <w:pPr>
        <w:pStyle w:val="ListParagraph"/>
        <w:numPr>
          <w:ilvl w:val="0"/>
          <w:numId w:val="1"/>
        </w:numPr>
        <w:rPr>
          <w:ins w:id="324" w:author="John Dooley" w:date="2018-08-10T14:38:00Z"/>
          <w:sz w:val="20"/>
          <w:szCs w:val="20"/>
        </w:rPr>
      </w:pPr>
      <w:ins w:id="325" w:author="John Dooley" w:date="2018-08-10T14:38:00Z">
        <w:r>
          <w:rPr>
            <w:sz w:val="20"/>
            <w:szCs w:val="20"/>
          </w:rPr>
          <w:t>Worst case emissions with full UL allocation: -35 dBm/20MHz (Wi-Fi ch#11), -20 dBm/MHz (BT 2480 MHz)</w:t>
        </w:r>
      </w:ins>
    </w:p>
    <w:p w:rsidR="003C716D" w:rsidRDefault="003C716D" w:rsidP="003C716D">
      <w:pPr>
        <w:pStyle w:val="ListParagraph"/>
        <w:ind w:left="720" w:firstLine="0"/>
        <w:rPr>
          <w:ins w:id="326" w:author="John Dooley" w:date="2018-08-10T14:38:00Z"/>
          <w:sz w:val="20"/>
          <w:szCs w:val="20"/>
        </w:rPr>
      </w:pPr>
    </w:p>
    <w:p w:rsidR="003C716D" w:rsidRDefault="003C716D" w:rsidP="003C716D">
      <w:pPr>
        <w:pStyle w:val="ListParagraph"/>
        <w:numPr>
          <w:ilvl w:val="0"/>
          <w:numId w:val="1"/>
        </w:numPr>
        <w:rPr>
          <w:ins w:id="327" w:author="John Dooley" w:date="2018-08-10T14:38:00Z"/>
          <w:sz w:val="20"/>
          <w:szCs w:val="20"/>
        </w:rPr>
      </w:pPr>
      <w:ins w:id="328" w:author="John Dooley" w:date="2018-08-10T14:38:00Z">
        <w:r>
          <w:rPr>
            <w:sz w:val="20"/>
            <w:szCs w:val="20"/>
          </w:rPr>
          <w:t>Effect of PA operation point: -5 to -7 dB (Wi-Fi ch#11), -3 to -5 dB (BT 2480 MHz)</w:t>
        </w:r>
      </w:ins>
    </w:p>
    <w:p w:rsidR="003C716D" w:rsidRDefault="003C716D" w:rsidP="003C716D">
      <w:pPr>
        <w:pStyle w:val="ListParagraph"/>
        <w:ind w:left="0" w:firstLine="0"/>
        <w:rPr>
          <w:ins w:id="329" w:author="John Dooley" w:date="2018-08-10T14:38:00Z"/>
          <w:sz w:val="20"/>
          <w:szCs w:val="20"/>
        </w:rPr>
      </w:pPr>
    </w:p>
    <w:p w:rsidR="003C716D" w:rsidRDefault="003C716D" w:rsidP="003C716D">
      <w:pPr>
        <w:pStyle w:val="ListParagraph"/>
        <w:numPr>
          <w:ilvl w:val="0"/>
          <w:numId w:val="1"/>
        </w:numPr>
        <w:rPr>
          <w:ins w:id="330" w:author="John Dooley" w:date="2018-08-10T14:38:00Z"/>
          <w:sz w:val="20"/>
          <w:szCs w:val="20"/>
        </w:rPr>
      </w:pPr>
      <w:ins w:id="331" w:author="John Dooley" w:date="2018-08-10T14:38:00Z">
        <w:r>
          <w:rPr>
            <w:sz w:val="20"/>
            <w:szCs w:val="20"/>
          </w:rPr>
          <w:t>Effect of filter typical vs. minimum performance: -2 to -5 dB (Wi-Fi ch#11), 0 dB (BT 2480 MHz)</w:t>
        </w:r>
      </w:ins>
    </w:p>
    <w:p w:rsidR="003C716D" w:rsidRDefault="003C716D" w:rsidP="003C716D">
      <w:pPr>
        <w:pStyle w:val="ListParagraph"/>
        <w:ind w:left="0" w:firstLine="0"/>
        <w:rPr>
          <w:ins w:id="332" w:author="John Dooley" w:date="2018-08-10T14:38:00Z"/>
          <w:sz w:val="20"/>
          <w:szCs w:val="20"/>
        </w:rPr>
      </w:pPr>
    </w:p>
    <w:p w:rsidR="003C716D" w:rsidRDefault="003C716D" w:rsidP="003C716D">
      <w:pPr>
        <w:pStyle w:val="ListParagraph"/>
        <w:numPr>
          <w:ilvl w:val="0"/>
          <w:numId w:val="1"/>
        </w:numPr>
        <w:rPr>
          <w:ins w:id="333" w:author="John Dooley" w:date="2018-08-10T14:38:00Z"/>
          <w:sz w:val="20"/>
          <w:szCs w:val="20"/>
        </w:rPr>
      </w:pPr>
      <w:ins w:id="334" w:author="John Dooley" w:date="2018-08-10T14:38:00Z">
        <w:r>
          <w:rPr>
            <w:sz w:val="20"/>
            <w:szCs w:val="20"/>
          </w:rPr>
          <w:t>Effect of typical UL resource allocation (conservative estimates): 0 to -20 dB (Wi-Fi ch#11), 0 to -5 dB (BT 2480 MHz)</w:t>
        </w:r>
      </w:ins>
    </w:p>
    <w:p w:rsidR="003C716D" w:rsidRDefault="003C716D" w:rsidP="003C716D">
      <w:pPr>
        <w:pStyle w:val="ListParagraph"/>
        <w:ind w:left="0" w:firstLine="0"/>
        <w:rPr>
          <w:ins w:id="335" w:author="John Dooley" w:date="2018-08-10T14:38:00Z"/>
          <w:sz w:val="20"/>
          <w:szCs w:val="20"/>
        </w:rPr>
      </w:pPr>
    </w:p>
    <w:p w:rsidR="003C716D" w:rsidRDefault="003C716D" w:rsidP="003C716D">
      <w:pPr>
        <w:pStyle w:val="ListParagraph"/>
        <w:numPr>
          <w:ilvl w:val="0"/>
          <w:numId w:val="1"/>
        </w:numPr>
        <w:rPr>
          <w:ins w:id="336" w:author="John Dooley" w:date="2018-08-10T14:38:00Z"/>
          <w:sz w:val="20"/>
          <w:szCs w:val="20"/>
        </w:rPr>
      </w:pPr>
      <w:ins w:id="337" w:author="John Dooley" w:date="2018-08-10T14:38:00Z">
        <w:r>
          <w:rPr>
            <w:sz w:val="20"/>
            <w:szCs w:val="20"/>
          </w:rPr>
          <w:t>Effect of typical UL TX power (90th and 50th percentiles, conservative 1:1 estimate on emissions): -12 to -20 dB (both Wi-Fi and BT)</w:t>
        </w:r>
      </w:ins>
    </w:p>
    <w:p w:rsidR="003C716D" w:rsidRDefault="003C716D" w:rsidP="003C716D">
      <w:pPr>
        <w:pStyle w:val="ListParagraph"/>
        <w:ind w:left="0" w:firstLine="0"/>
        <w:rPr>
          <w:ins w:id="338" w:author="John Dooley" w:date="2018-08-10T14:38:00Z"/>
          <w:sz w:val="20"/>
          <w:szCs w:val="20"/>
        </w:rPr>
      </w:pPr>
    </w:p>
    <w:p w:rsidR="003C716D" w:rsidRDefault="003C716D" w:rsidP="003C716D">
      <w:pPr>
        <w:pStyle w:val="ListParagraph"/>
        <w:numPr>
          <w:ilvl w:val="0"/>
          <w:numId w:val="1"/>
        </w:numPr>
        <w:rPr>
          <w:ins w:id="339" w:author="John Dooley" w:date="2018-08-10T14:38:00Z"/>
          <w:sz w:val="20"/>
          <w:szCs w:val="20"/>
        </w:rPr>
      </w:pPr>
      <w:ins w:id="340" w:author="John Dooley" w:date="2018-08-10T14:38:00Z">
        <w:r>
          <w:rPr>
            <w:sz w:val="20"/>
            <w:szCs w:val="20"/>
          </w:rPr>
          <w:t xml:space="preserve">Typical emissions in the order of: </w:t>
        </w:r>
        <w:r w:rsidRPr="00B66413">
          <w:rPr>
            <w:b/>
            <w:sz w:val="20"/>
            <w:szCs w:val="20"/>
            <w:u w:val="single"/>
          </w:rPr>
          <w:t>-54 to -87 dBm/20MHz</w:t>
        </w:r>
        <w:r>
          <w:rPr>
            <w:sz w:val="20"/>
            <w:szCs w:val="20"/>
          </w:rPr>
          <w:t xml:space="preserve"> (Wi-Fi ch#11), </w:t>
        </w:r>
        <w:r w:rsidRPr="00B66413">
          <w:rPr>
            <w:b/>
            <w:sz w:val="20"/>
            <w:szCs w:val="20"/>
            <w:u w:val="single"/>
          </w:rPr>
          <w:t>-31 to -50 dBm/MHz</w:t>
        </w:r>
        <w:r>
          <w:rPr>
            <w:sz w:val="20"/>
            <w:szCs w:val="20"/>
          </w:rPr>
          <w:t xml:space="preserve"> (BT 2480 MHz)</w:t>
        </w:r>
      </w:ins>
    </w:p>
    <w:p w:rsidR="003C716D" w:rsidRDefault="003C716D" w:rsidP="003C716D">
      <w:pPr>
        <w:rPr>
          <w:ins w:id="341" w:author="John Dooley" w:date="2018-08-10T14:38:00Z"/>
          <w:sz w:val="20"/>
          <w:szCs w:val="20"/>
        </w:rPr>
      </w:pPr>
    </w:p>
    <w:p w:rsidR="003C716D" w:rsidRDefault="003C716D" w:rsidP="003C716D">
      <w:pPr>
        <w:rPr>
          <w:ins w:id="342" w:author="John Dooley" w:date="2018-08-10T14:38:00Z"/>
          <w:sz w:val="20"/>
          <w:szCs w:val="20"/>
        </w:rPr>
      </w:pPr>
    </w:p>
    <w:p w:rsidR="003C716D" w:rsidRDefault="003C716D" w:rsidP="003C716D">
      <w:pPr>
        <w:rPr>
          <w:ins w:id="343" w:author="John Dooley" w:date="2018-08-10T14:38:00Z"/>
          <w:sz w:val="20"/>
          <w:szCs w:val="20"/>
        </w:rPr>
      </w:pPr>
      <w:ins w:id="344" w:author="John Dooley" w:date="2018-08-10T14:38:00Z">
        <w:r>
          <w:rPr>
            <w:sz w:val="20"/>
            <w:szCs w:val="20"/>
          </w:rPr>
          <w:t>It can be further noted that at 2.4 GHz frequency, 1 meter of antenna separation results in approximately 40 dB free space path loss, hence typical emission contribution to victim Wi-Fi receivers at the highest channel should be very small to negligible.</w:t>
        </w:r>
      </w:ins>
    </w:p>
    <w:p w:rsidR="003C716D" w:rsidRDefault="003C716D" w:rsidP="003C716D">
      <w:pPr>
        <w:rPr>
          <w:ins w:id="345" w:author="John Dooley" w:date="2018-08-10T14:38:00Z"/>
          <w:sz w:val="20"/>
          <w:szCs w:val="20"/>
        </w:rPr>
      </w:pPr>
    </w:p>
    <w:p w:rsidR="003C716D" w:rsidRDefault="003C716D" w:rsidP="003C716D">
      <w:pPr>
        <w:pStyle w:val="Heading2"/>
        <w:rPr>
          <w:ins w:id="346" w:author="John Dooley" w:date="2018-08-10T14:38:00Z"/>
          <w:sz w:val="24"/>
        </w:rPr>
      </w:pPr>
      <w:ins w:id="347" w:author="John Dooley" w:date="2018-08-10T14:38:00Z">
        <w:r>
          <w:rPr>
            <w:sz w:val="24"/>
            <w:lang w:val="en-US"/>
          </w:rPr>
          <w:t>6.6</w:t>
        </w:r>
        <w:r w:rsidRPr="00776A81">
          <w:rPr>
            <w:sz w:val="24"/>
            <w:lang w:val="en-US"/>
          </w:rPr>
          <w:t>.</w:t>
        </w:r>
        <w:r>
          <w:rPr>
            <w:sz w:val="24"/>
            <w:lang w:val="en-US"/>
          </w:rPr>
          <w:t>3</w:t>
        </w:r>
        <w:r w:rsidRPr="00776A81">
          <w:rPr>
            <w:sz w:val="24"/>
            <w:lang w:val="en-US"/>
          </w:rPr>
          <w:tab/>
        </w:r>
        <w:r>
          <w:rPr>
            <w:sz w:val="24"/>
            <w:lang w:val="en-US"/>
          </w:rPr>
          <w:t>Base Station</w:t>
        </w:r>
        <w:r>
          <w:rPr>
            <w:sz w:val="24"/>
          </w:rPr>
          <w:t xml:space="preserve"> Emissions to ISM band</w:t>
        </w:r>
      </w:ins>
    </w:p>
    <w:p w:rsidR="003C716D" w:rsidRDefault="003C716D" w:rsidP="003C716D">
      <w:pPr>
        <w:rPr>
          <w:ins w:id="348" w:author="John Dooley" w:date="2018-08-10T14:38:00Z"/>
          <w:sz w:val="20"/>
          <w:szCs w:val="20"/>
        </w:rPr>
      </w:pPr>
      <w:ins w:id="349" w:author="John Dooley" w:date="2018-08-10T14:38:00Z">
        <w:r>
          <w:rPr>
            <w:sz w:val="20"/>
            <w:szCs w:val="20"/>
          </w:rPr>
          <w:t>The FCC operating conditions regarding base station or access point transmit requirements are the same for the 2.4 GHz Terrestrial Band and the ISM band.  However, the 3GPP BS RF requirements are significantly tighter than those in the 802.11 Wi-Fi standard.  LTE base stations operating on the 2.4 GHz Terrestrial Band may further implement RF filtering to suppress emissions below the band, so as to minimize the emission leakage into the ISM band.  Hence, it is not expected that a 2.4 GHz Terrestrial Band BS would cause any more interference to ISM band operation than a Wi-Fi access point that operates in the ISM band.</w:t>
        </w:r>
      </w:ins>
    </w:p>
    <w:p w:rsidR="003C716D" w:rsidRDefault="003C716D" w:rsidP="003C716D">
      <w:pPr>
        <w:rPr>
          <w:ins w:id="350" w:author="John Dooley" w:date="2018-08-10T14:38:00Z"/>
          <w:sz w:val="20"/>
          <w:szCs w:val="20"/>
        </w:rPr>
      </w:pPr>
    </w:p>
    <w:p w:rsidR="003C716D" w:rsidRDefault="003C716D" w:rsidP="003C716D">
      <w:pPr>
        <w:pStyle w:val="Heading2"/>
        <w:rPr>
          <w:ins w:id="351" w:author="John Dooley" w:date="2018-08-10T14:38:00Z"/>
          <w:sz w:val="24"/>
        </w:rPr>
      </w:pPr>
      <w:ins w:id="352" w:author="John Dooley" w:date="2018-08-10T14:38:00Z">
        <w:r>
          <w:rPr>
            <w:sz w:val="24"/>
            <w:lang w:val="en-US"/>
          </w:rPr>
          <w:lastRenderedPageBreak/>
          <w:t>6.6</w:t>
        </w:r>
        <w:r w:rsidRPr="00776A81">
          <w:rPr>
            <w:sz w:val="24"/>
            <w:lang w:val="en-US"/>
          </w:rPr>
          <w:t>.</w:t>
        </w:r>
        <w:r>
          <w:rPr>
            <w:sz w:val="24"/>
            <w:lang w:val="en-US"/>
          </w:rPr>
          <w:t>4</w:t>
        </w:r>
        <w:r w:rsidRPr="00776A81">
          <w:rPr>
            <w:sz w:val="24"/>
            <w:lang w:val="en-US"/>
          </w:rPr>
          <w:tab/>
        </w:r>
        <w:r>
          <w:rPr>
            <w:sz w:val="24"/>
            <w:lang w:val="en-US"/>
          </w:rPr>
          <w:t>ISM Band Co-existence Conclusions</w:t>
        </w:r>
      </w:ins>
    </w:p>
    <w:p w:rsidR="003C716D" w:rsidRDefault="003C716D" w:rsidP="003C716D">
      <w:pPr>
        <w:rPr>
          <w:ins w:id="353" w:author="John Dooley" w:date="2018-08-10T14:38:00Z"/>
          <w:sz w:val="20"/>
          <w:szCs w:val="20"/>
        </w:rPr>
      </w:pPr>
      <w:ins w:id="354" w:author="John Dooley" w:date="2018-08-10T14:38:00Z">
        <w:r>
          <w:rPr>
            <w:sz w:val="20"/>
            <w:szCs w:val="20"/>
          </w:rPr>
          <w:t>While the worst case unwanted emissions profile could have some impact on the ISM band noise and interference floor, the typical emissions from a UE transmitter should only have very small to negligible impact on the highest Wi-Fi channel, and decay beyond such offset below the thermal noise floor. The impact on the Bluetooth advertising channel at 2480 MHz may be moderate, but it should be noted that also nearby Wi-Fi transmitters leak unwanted emissions on that channel.</w:t>
        </w:r>
      </w:ins>
    </w:p>
    <w:p w:rsidR="003C716D" w:rsidRDefault="003C716D" w:rsidP="003C716D">
      <w:pPr>
        <w:rPr>
          <w:ins w:id="355" w:author="John Dooley" w:date="2018-08-10T14:38:00Z"/>
          <w:sz w:val="20"/>
          <w:szCs w:val="20"/>
        </w:rPr>
      </w:pPr>
    </w:p>
    <w:p w:rsidR="003C716D" w:rsidRDefault="003C716D" w:rsidP="003C716D">
      <w:pPr>
        <w:rPr>
          <w:ins w:id="356" w:author="John Dooley" w:date="2018-08-10T14:38:00Z"/>
          <w:sz w:val="20"/>
          <w:szCs w:val="20"/>
        </w:rPr>
      </w:pPr>
      <w:ins w:id="357" w:author="John Dooley" w:date="2018-08-10T14:38:00Z">
        <w:r>
          <w:rPr>
            <w:sz w:val="20"/>
            <w:szCs w:val="20"/>
          </w:rPr>
          <w:t>The LTE base station transmitter emissions are expected to be at most similar to Wi-Fi access points, but may include additional measures such as band filtering to reduce power leakage.</w:t>
        </w:r>
      </w:ins>
    </w:p>
    <w:p w:rsidR="003C716D" w:rsidRDefault="003C716D" w:rsidP="003C716D">
      <w:pPr>
        <w:rPr>
          <w:ins w:id="358" w:author="John Dooley" w:date="2018-08-10T14:38:00Z"/>
          <w:sz w:val="20"/>
          <w:szCs w:val="20"/>
        </w:rPr>
      </w:pPr>
    </w:p>
    <w:p w:rsidR="003C716D" w:rsidRDefault="003C716D" w:rsidP="003C716D">
      <w:pPr>
        <w:rPr>
          <w:ins w:id="359" w:author="John Dooley" w:date="2018-08-10T14:38:00Z"/>
          <w:sz w:val="20"/>
          <w:szCs w:val="20"/>
        </w:rPr>
      </w:pPr>
      <w:ins w:id="360" w:author="John Dooley" w:date="2018-08-10T14:38:00Z">
        <w:r>
          <w:rPr>
            <w:sz w:val="20"/>
            <w:szCs w:val="20"/>
          </w:rPr>
          <w:t xml:space="preserve">In any interference scenario across the bands, the TDD operating nature of the 2.4 GHz Terrestrial Band LTE equipment will result in some subframes during which the interfering transmitter is not active. </w:t>
        </w:r>
        <w:r w:rsidRPr="00B66413">
          <w:rPr>
            <w:sz w:val="20"/>
            <w:szCs w:val="20"/>
          </w:rPr>
          <w:t>E-UTRA Bands 40 and 41 operation have similar narrow (or non-existent) guard bands to the ISM band</w:t>
        </w:r>
        <w:r>
          <w:rPr>
            <w:sz w:val="20"/>
            <w:szCs w:val="20"/>
          </w:rPr>
          <w:t xml:space="preserve"> as the 2.4 GHz Terrestrial Band</w:t>
        </w:r>
        <w:r w:rsidRPr="00B66413">
          <w:rPr>
            <w:sz w:val="20"/>
            <w:szCs w:val="20"/>
          </w:rPr>
          <w:t>, but also allow larger channel bandwidths</w:t>
        </w:r>
        <w:r>
          <w:rPr>
            <w:sz w:val="20"/>
            <w:szCs w:val="20"/>
          </w:rPr>
          <w:t>, hence the unwanted emissions may reach farther into the ISM band.</w:t>
        </w:r>
      </w:ins>
    </w:p>
    <w:p w:rsidR="003C716D" w:rsidRDefault="003C716D" w:rsidP="003C716D">
      <w:pPr>
        <w:rPr>
          <w:ins w:id="361" w:author="John Dooley" w:date="2018-08-10T14:38:00Z"/>
          <w:sz w:val="20"/>
          <w:szCs w:val="20"/>
        </w:rPr>
      </w:pPr>
    </w:p>
    <w:p w:rsidR="003C716D" w:rsidRPr="00B66413" w:rsidRDefault="003C716D" w:rsidP="003C716D">
      <w:pPr>
        <w:rPr>
          <w:ins w:id="362" w:author="John Dooley" w:date="2018-08-10T14:38:00Z"/>
          <w:sz w:val="20"/>
          <w:szCs w:val="20"/>
        </w:rPr>
      </w:pPr>
      <w:ins w:id="363" w:author="John Dooley" w:date="2018-08-10T14:38:00Z">
        <w:r>
          <w:rPr>
            <w:sz w:val="20"/>
            <w:szCs w:val="20"/>
          </w:rPr>
          <w:t>In case a UE implements both 2.4 GHz Terrestrial Band LTE and ISM band radios, In-Device Coexistence implementation from Rel-11 may be utilized to mitigate the effects.</w:t>
        </w:r>
      </w:ins>
    </w:p>
    <w:p w:rsidR="003C716D" w:rsidRPr="00B66413" w:rsidRDefault="003C716D" w:rsidP="003C716D">
      <w:pPr>
        <w:rPr>
          <w:ins w:id="364" w:author="John Dooley" w:date="2018-08-10T14:38:00Z"/>
          <w:sz w:val="20"/>
          <w:szCs w:val="20"/>
          <w:lang w:eastAsia="zh-CN"/>
        </w:rPr>
      </w:pPr>
    </w:p>
    <w:p w:rsidR="00D15089" w:rsidRPr="00B66413" w:rsidRDefault="00D15089" w:rsidP="00B66413">
      <w:pPr>
        <w:rPr>
          <w:sz w:val="20"/>
          <w:szCs w:val="20"/>
          <w:lang w:eastAsia="zh-CN"/>
        </w:rPr>
      </w:pPr>
    </w:p>
    <w:p w:rsidR="00DC4267" w:rsidRDefault="00DC4267" w:rsidP="00EE5474"/>
    <w:p w:rsidR="0040545D" w:rsidRPr="004256D2" w:rsidRDefault="008B1BF8" w:rsidP="004256D2">
      <w:pPr>
        <w:tabs>
          <w:tab w:val="left" w:pos="1080"/>
        </w:tabs>
        <w:rPr>
          <w:b/>
          <w:color w:val="FF0000"/>
          <w:lang w:eastAsia="x-none"/>
        </w:rPr>
      </w:pPr>
      <w:r>
        <w:rPr>
          <w:b/>
          <w:color w:val="FF0000"/>
          <w:lang w:eastAsia="x-none"/>
        </w:rPr>
        <w:t>&lt;&lt;&lt; End of TP</w:t>
      </w:r>
      <w:r w:rsidRPr="007529F2">
        <w:rPr>
          <w:b/>
          <w:color w:val="FF0000"/>
          <w:lang w:eastAsia="x-none"/>
        </w:rPr>
        <w:t>&gt;&gt;&gt;</w:t>
      </w:r>
    </w:p>
    <w:p w:rsidR="0040545D" w:rsidRDefault="0040545D" w:rsidP="00EE5474"/>
    <w:p w:rsidR="0040545D" w:rsidRDefault="0040545D" w:rsidP="00483D58"/>
    <w:p w:rsidR="00960A15" w:rsidRDefault="00960A15"/>
    <w:sectPr w:rsidR="00960A15" w:rsidSect="00B47C5D">
      <w:headerReference w:type="even" r:id="rId25"/>
      <w:headerReference w:type="default" r:id="rId26"/>
      <w:footerReference w:type="even" r:id="rId27"/>
      <w:footerReference w:type="default" r:id="rId28"/>
      <w:headerReference w:type="first" r:id="rId29"/>
      <w:footerReference w:type="first" r:id="rId30"/>
      <w:footnotePr>
        <w:numRestart w:val="eachSect"/>
      </w:footnotePr>
      <w:pgSz w:w="11894" w:h="16819" w:code="9"/>
      <w:pgMar w:top="1152" w:right="1152" w:bottom="1152" w:left="1152" w:header="432" w:footer="432"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6703F" w:rsidRDefault="0046703F" w:rsidP="00412779">
      <w:r>
        <w:separator/>
      </w:r>
    </w:p>
  </w:endnote>
  <w:endnote w:type="continuationSeparator" w:id="0">
    <w:p w:rsidR="0046703F" w:rsidRDefault="0046703F" w:rsidP="004127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1AB" w:rsidRDefault="005161A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1AB" w:rsidRDefault="005161A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1AB" w:rsidRDefault="005161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6703F" w:rsidRDefault="0046703F" w:rsidP="00412779">
      <w:r>
        <w:separator/>
      </w:r>
    </w:p>
  </w:footnote>
  <w:footnote w:type="continuationSeparator" w:id="0">
    <w:p w:rsidR="0046703F" w:rsidRDefault="0046703F" w:rsidP="004127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2779" w:rsidRDefault="00412779" w:rsidP="005317E9">
    <w:pPr>
      <w:pStyle w:val="Head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EA222E" w:rsidRDefault="0046703F">
    <w:pPr>
      <w:pStyle w:val="Heade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alt="" style="position:absolute;margin-left:0;margin-top:0;width:453pt;height:226.5pt;rotation:315;z-index:-2;mso-wrap-edited:f;mso-width-percent:0;mso-height-percent:0;mso-position-horizontal:center;mso-position-horizontal-relative:margin;mso-position-vertical:center;mso-position-vertical-relative:margin;mso-width-percent:0;mso-height-percent:0" wrapcoords="20205 5578 19347 4362 18560 3504 18417 3719 18131 3719 17630 3719 17022 4148 16557 4792 16235 5721 16021 6937 15949 8368 15127 8439 14912 8654 15019 9298 15949 11729 15949 13160 12838 8082 12623 8296 11765 8153 11050 8368 10513 8940 10156 9798 9333 8511 8797 8010 8582 8296 8046 8868 5650 4935 4756 3504 3039 4792 3111 5078 3862 6937 3862 8511 2932 8153 2145 8368 1573 8868 1108 9512 750 10442 464 11443 286 12659 321 14376 536 15377 572 15449 1358 17022 1430 17165 1931 17523 2825 17666 3361 17308 3504 17451 4291 17809 4362 17666 5543 16807 5936 17451 8260 17380 8547 17308 8439 16950 7617 14447 7617 12802 8117 13732 10692 17666 11550 17523 12194 17022 13303 17594 13875 17380 14411 16664 14626 17022 15449 17594 15627 17451 17988 17380 18202 17237 18131 16879 17022 13875 17022 12230 18989 16092 20241 18023 20491 17523 21063 17165 21707 15806 21492 15234 20312 12301 20312 10728 20527 9369 21242 9369 21492 9226 21492 8582 20312 5864 20205 5578" fillcolor="black" stroked="f">
          <v:fill opacity="43909f"/>
          <v:textpath style="font-family:&quot;Times New Roman&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2779" w:rsidRDefault="00412779" w:rsidP="00986C85">
    <w:pPr>
      <w:pStyle w:val="Header"/>
      <w:framePr w:wrap="none" w:vAnchor="text" w:hAnchor="page" w:x="5842" w:y="-6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222E" w:rsidRDefault="0046703F">
    <w:pPr>
      <w:pStyle w:val="Heade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49" type="#_x0000_t136" alt="" style="position:absolute;margin-left:0;margin-top:0;width:453pt;height:226.5pt;rotation:315;z-index:-1;mso-wrap-edited:f;mso-width-percent:0;mso-height-percent:0;mso-position-horizontal:center;mso-position-horizontal-relative:margin;mso-position-vertical:center;mso-position-vertical-relative:margin;mso-width-percent:0;mso-height-percent:0" wrapcoords="20205 5578 19347 4362 18560 3504 18417 3719 18131 3719 17630 3719 17022 4148 16557 4792 16235 5721 16021 6937 15949 8368 15127 8439 14912 8654 15019 9298 15949 11729 15949 13160 12838 8082 12623 8296 11765 8153 11050 8368 10513 8940 10156 9798 9333 8511 8797 8010 8582 8296 8046 8868 5650 4935 4756 3504 3039 4792 3111 5078 3862 6937 3862 8511 2932 8153 2145 8368 1573 8868 1108 9512 750 10442 464 11443 286 12659 321 14376 536 15377 572 15449 1358 17022 1430 17165 1931 17523 2825 17666 3361 17308 3504 17451 4291 17809 4362 17666 5543 16807 5936 17451 8260 17380 8547 17308 8439 16950 7617 14447 7617 12802 8117 13732 10692 17666 11550 17523 12194 17022 13303 17594 13875 17380 14411 16664 14626 17022 15449 17594 15627 17451 17988 17380 18202 17237 18131 16879 17022 13875 17022 12230 18989 16092 20241 18023 20491 17523 21063 17165 21707 15806 21492 15234 20312 12301 20312 10728 20527 9369 21242 9369 21492 9226 21492 8582 20312 5864 20205 5578" fillcolor="black" stroked="f">
          <v:fill opacity="43909f"/>
          <v:textpath style="font-family:&quot;Times New Roman&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100730"/>
    <w:multiLevelType w:val="multilevel"/>
    <w:tmpl w:val="F2FC70E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13A96C2F"/>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6E54F58"/>
    <w:multiLevelType w:val="hybridMultilevel"/>
    <w:tmpl w:val="61D80ACC"/>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3937310D"/>
    <w:multiLevelType w:val="hybridMultilevel"/>
    <w:tmpl w:val="E392FB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2F27FE7"/>
    <w:multiLevelType w:val="hybridMultilevel"/>
    <w:tmpl w:val="32507162"/>
    <w:lvl w:ilvl="0" w:tplc="F5DC7950">
      <w:start w:val="1"/>
      <w:numFmt w:val="none"/>
      <w:lvlText w:val="(a)"/>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AC05F02"/>
    <w:multiLevelType w:val="hybridMultilevel"/>
    <w:tmpl w:val="653E775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4DC3FC5"/>
    <w:multiLevelType w:val="hybridMultilevel"/>
    <w:tmpl w:val="2FF05F22"/>
    <w:lvl w:ilvl="0" w:tplc="267CAA10">
      <w:start w:val="1"/>
      <w:numFmt w:val="decimal"/>
      <w:lvlText w:val="[%1]"/>
      <w:lvlJc w:val="left"/>
      <w:pPr>
        <w:ind w:left="2214" w:hanging="1419"/>
      </w:pPr>
      <w:rPr>
        <w:rFonts w:ascii="Times New Roman" w:eastAsia="Times New Roman" w:hAnsi="Times New Roman" w:cs="Times New Roman" w:hint="default"/>
        <w:w w:val="99"/>
        <w:sz w:val="20"/>
        <w:szCs w:val="20"/>
        <w:lang w:val="en-US" w:eastAsia="en-US" w:bidi="en-US"/>
      </w:rPr>
    </w:lvl>
    <w:lvl w:ilvl="1" w:tplc="A0FC58E0">
      <w:numFmt w:val="bullet"/>
      <w:lvlText w:val="•"/>
      <w:lvlJc w:val="left"/>
      <w:pPr>
        <w:ind w:left="3126" w:hanging="1419"/>
      </w:pPr>
      <w:rPr>
        <w:rFonts w:hint="default"/>
        <w:lang w:val="en-US" w:eastAsia="en-US" w:bidi="en-US"/>
      </w:rPr>
    </w:lvl>
    <w:lvl w:ilvl="2" w:tplc="F1027124">
      <w:numFmt w:val="bullet"/>
      <w:lvlText w:val="•"/>
      <w:lvlJc w:val="left"/>
      <w:pPr>
        <w:ind w:left="4033" w:hanging="1419"/>
      </w:pPr>
      <w:rPr>
        <w:rFonts w:hint="default"/>
        <w:lang w:val="en-US" w:eastAsia="en-US" w:bidi="en-US"/>
      </w:rPr>
    </w:lvl>
    <w:lvl w:ilvl="3" w:tplc="CDA4CAAC">
      <w:numFmt w:val="bullet"/>
      <w:lvlText w:val="•"/>
      <w:lvlJc w:val="left"/>
      <w:pPr>
        <w:ind w:left="4939" w:hanging="1419"/>
      </w:pPr>
      <w:rPr>
        <w:rFonts w:hint="default"/>
        <w:lang w:val="en-US" w:eastAsia="en-US" w:bidi="en-US"/>
      </w:rPr>
    </w:lvl>
    <w:lvl w:ilvl="4" w:tplc="A4189E2C">
      <w:numFmt w:val="bullet"/>
      <w:lvlText w:val="•"/>
      <w:lvlJc w:val="left"/>
      <w:pPr>
        <w:ind w:left="5846" w:hanging="1419"/>
      </w:pPr>
      <w:rPr>
        <w:rFonts w:hint="default"/>
        <w:lang w:val="en-US" w:eastAsia="en-US" w:bidi="en-US"/>
      </w:rPr>
    </w:lvl>
    <w:lvl w:ilvl="5" w:tplc="9B72D610">
      <w:numFmt w:val="bullet"/>
      <w:lvlText w:val="•"/>
      <w:lvlJc w:val="left"/>
      <w:pPr>
        <w:ind w:left="6753" w:hanging="1419"/>
      </w:pPr>
      <w:rPr>
        <w:rFonts w:hint="default"/>
        <w:lang w:val="en-US" w:eastAsia="en-US" w:bidi="en-US"/>
      </w:rPr>
    </w:lvl>
    <w:lvl w:ilvl="6" w:tplc="C1E04D06">
      <w:numFmt w:val="bullet"/>
      <w:lvlText w:val="•"/>
      <w:lvlJc w:val="left"/>
      <w:pPr>
        <w:ind w:left="7659" w:hanging="1419"/>
      </w:pPr>
      <w:rPr>
        <w:rFonts w:hint="default"/>
        <w:lang w:val="en-US" w:eastAsia="en-US" w:bidi="en-US"/>
      </w:rPr>
    </w:lvl>
    <w:lvl w:ilvl="7" w:tplc="70B2BBF6">
      <w:numFmt w:val="bullet"/>
      <w:lvlText w:val="•"/>
      <w:lvlJc w:val="left"/>
      <w:pPr>
        <w:ind w:left="8566" w:hanging="1419"/>
      </w:pPr>
      <w:rPr>
        <w:rFonts w:hint="default"/>
        <w:lang w:val="en-US" w:eastAsia="en-US" w:bidi="en-US"/>
      </w:rPr>
    </w:lvl>
    <w:lvl w:ilvl="8" w:tplc="841C8468">
      <w:numFmt w:val="bullet"/>
      <w:lvlText w:val="•"/>
      <w:lvlJc w:val="left"/>
      <w:pPr>
        <w:ind w:left="9473" w:hanging="1419"/>
      </w:pPr>
      <w:rPr>
        <w:rFonts w:hint="default"/>
        <w:lang w:val="en-US" w:eastAsia="en-US" w:bidi="en-US"/>
      </w:rPr>
    </w:lvl>
  </w:abstractNum>
  <w:abstractNum w:abstractNumId="7" w15:restartNumberingAfterBreak="0">
    <w:nsid w:val="753A1153"/>
    <w:multiLevelType w:val="hybridMultilevel"/>
    <w:tmpl w:val="76DC66F0"/>
    <w:lvl w:ilvl="0" w:tplc="A8AE98E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FBA6712"/>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6"/>
  </w:num>
  <w:num w:numId="3">
    <w:abstractNumId w:val="5"/>
  </w:num>
  <w:num w:numId="4">
    <w:abstractNumId w:val="4"/>
  </w:num>
  <w:num w:numId="5">
    <w:abstractNumId w:val="2"/>
  </w:num>
  <w:num w:numId="6">
    <w:abstractNumId w:val="8"/>
  </w:num>
  <w:num w:numId="7">
    <w:abstractNumId w:val="0"/>
  </w:num>
  <w:num w:numId="8">
    <w:abstractNumId w:val="1"/>
  </w:num>
  <w:num w:numId="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hn Dooley">
    <w15:presenceInfo w15:providerId="Windows Live" w15:userId="f8f8db79ca57a45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trackRevisions/>
  <w:doNotTrackMoves/>
  <w:defaultTabStop w:val="720"/>
  <w:characterSpacingControl w:val="doNotCompress"/>
  <w:hdrShapeDefaults>
    <o:shapedefaults v:ext="edit" spidmax="2051"/>
    <o:shapelayout v:ext="edit">
      <o:idmap v:ext="edit" data="2"/>
    </o:shapelayout>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83D58"/>
    <w:rsid w:val="0000081D"/>
    <w:rsid w:val="00006328"/>
    <w:rsid w:val="00010550"/>
    <w:rsid w:val="00011C82"/>
    <w:rsid w:val="00020EF2"/>
    <w:rsid w:val="00023789"/>
    <w:rsid w:val="0003751D"/>
    <w:rsid w:val="00041638"/>
    <w:rsid w:val="00042F59"/>
    <w:rsid w:val="00045BB9"/>
    <w:rsid w:val="00045FCE"/>
    <w:rsid w:val="000510BF"/>
    <w:rsid w:val="00055AD7"/>
    <w:rsid w:val="00060A10"/>
    <w:rsid w:val="00064797"/>
    <w:rsid w:val="0006643D"/>
    <w:rsid w:val="00070597"/>
    <w:rsid w:val="00074E37"/>
    <w:rsid w:val="000753EA"/>
    <w:rsid w:val="00076171"/>
    <w:rsid w:val="00085E43"/>
    <w:rsid w:val="00085E50"/>
    <w:rsid w:val="00094A70"/>
    <w:rsid w:val="00095199"/>
    <w:rsid w:val="000A2097"/>
    <w:rsid w:val="000A3692"/>
    <w:rsid w:val="000A699C"/>
    <w:rsid w:val="000B7131"/>
    <w:rsid w:val="000C2A41"/>
    <w:rsid w:val="000C3C97"/>
    <w:rsid w:val="000D0124"/>
    <w:rsid w:val="000D79D7"/>
    <w:rsid w:val="000E4296"/>
    <w:rsid w:val="000F2E4F"/>
    <w:rsid w:val="000F4FD3"/>
    <w:rsid w:val="000F6A29"/>
    <w:rsid w:val="001033B4"/>
    <w:rsid w:val="00105D83"/>
    <w:rsid w:val="00120A92"/>
    <w:rsid w:val="00120AB9"/>
    <w:rsid w:val="00126869"/>
    <w:rsid w:val="001279E2"/>
    <w:rsid w:val="00130A2C"/>
    <w:rsid w:val="00132E85"/>
    <w:rsid w:val="001344BA"/>
    <w:rsid w:val="00135490"/>
    <w:rsid w:val="00136AA8"/>
    <w:rsid w:val="00142A11"/>
    <w:rsid w:val="00152F7A"/>
    <w:rsid w:val="00154D8D"/>
    <w:rsid w:val="00156910"/>
    <w:rsid w:val="001608ED"/>
    <w:rsid w:val="001635C9"/>
    <w:rsid w:val="00165366"/>
    <w:rsid w:val="001713EB"/>
    <w:rsid w:val="0017382C"/>
    <w:rsid w:val="001769EF"/>
    <w:rsid w:val="00177144"/>
    <w:rsid w:val="001849DC"/>
    <w:rsid w:val="0018583A"/>
    <w:rsid w:val="00187D2E"/>
    <w:rsid w:val="001911E4"/>
    <w:rsid w:val="001921AC"/>
    <w:rsid w:val="00197987"/>
    <w:rsid w:val="001A1FC4"/>
    <w:rsid w:val="001A77B9"/>
    <w:rsid w:val="001C4BFF"/>
    <w:rsid w:val="001D1701"/>
    <w:rsid w:val="001D27D0"/>
    <w:rsid w:val="001D3876"/>
    <w:rsid w:val="001D479E"/>
    <w:rsid w:val="001E14E2"/>
    <w:rsid w:val="001E6916"/>
    <w:rsid w:val="001F0DAB"/>
    <w:rsid w:val="001F1CC2"/>
    <w:rsid w:val="001F4826"/>
    <w:rsid w:val="00200DD8"/>
    <w:rsid w:val="002022CA"/>
    <w:rsid w:val="002065C3"/>
    <w:rsid w:val="00210891"/>
    <w:rsid w:val="0021670B"/>
    <w:rsid w:val="00220636"/>
    <w:rsid w:val="0022069F"/>
    <w:rsid w:val="00222A83"/>
    <w:rsid w:val="00222D29"/>
    <w:rsid w:val="00226AD8"/>
    <w:rsid w:val="002300E0"/>
    <w:rsid w:val="00251B82"/>
    <w:rsid w:val="00255AE1"/>
    <w:rsid w:val="00255BA4"/>
    <w:rsid w:val="0026246C"/>
    <w:rsid w:val="002657ED"/>
    <w:rsid w:val="00266A61"/>
    <w:rsid w:val="00277A66"/>
    <w:rsid w:val="00286EAB"/>
    <w:rsid w:val="00294018"/>
    <w:rsid w:val="002975CD"/>
    <w:rsid w:val="002A07A2"/>
    <w:rsid w:val="002A1267"/>
    <w:rsid w:val="002A1345"/>
    <w:rsid w:val="002A1FFA"/>
    <w:rsid w:val="002B213F"/>
    <w:rsid w:val="002B31BA"/>
    <w:rsid w:val="002B7838"/>
    <w:rsid w:val="002C535D"/>
    <w:rsid w:val="002D1408"/>
    <w:rsid w:val="002D4385"/>
    <w:rsid w:val="002E2354"/>
    <w:rsid w:val="002F5B76"/>
    <w:rsid w:val="002F6C42"/>
    <w:rsid w:val="00300162"/>
    <w:rsid w:val="00301569"/>
    <w:rsid w:val="003176D7"/>
    <w:rsid w:val="0032275D"/>
    <w:rsid w:val="00323084"/>
    <w:rsid w:val="003246B4"/>
    <w:rsid w:val="00334643"/>
    <w:rsid w:val="003407CA"/>
    <w:rsid w:val="00341C66"/>
    <w:rsid w:val="00343638"/>
    <w:rsid w:val="003455B6"/>
    <w:rsid w:val="00350474"/>
    <w:rsid w:val="00351E87"/>
    <w:rsid w:val="00354534"/>
    <w:rsid w:val="00355C26"/>
    <w:rsid w:val="00360988"/>
    <w:rsid w:val="00361E8A"/>
    <w:rsid w:val="00363909"/>
    <w:rsid w:val="00367EEB"/>
    <w:rsid w:val="00370C02"/>
    <w:rsid w:val="0037135A"/>
    <w:rsid w:val="00372C55"/>
    <w:rsid w:val="00372CBA"/>
    <w:rsid w:val="00374D59"/>
    <w:rsid w:val="003923E0"/>
    <w:rsid w:val="003946F4"/>
    <w:rsid w:val="003A1173"/>
    <w:rsid w:val="003A12C8"/>
    <w:rsid w:val="003A2FAF"/>
    <w:rsid w:val="003A3EB2"/>
    <w:rsid w:val="003B3936"/>
    <w:rsid w:val="003B436D"/>
    <w:rsid w:val="003C1CFC"/>
    <w:rsid w:val="003C716D"/>
    <w:rsid w:val="003D035B"/>
    <w:rsid w:val="003D4C8D"/>
    <w:rsid w:val="003D4DE9"/>
    <w:rsid w:val="003E75B9"/>
    <w:rsid w:val="003F3143"/>
    <w:rsid w:val="003F5803"/>
    <w:rsid w:val="00401213"/>
    <w:rsid w:val="00403B2E"/>
    <w:rsid w:val="0040545D"/>
    <w:rsid w:val="00410160"/>
    <w:rsid w:val="00412779"/>
    <w:rsid w:val="004256D2"/>
    <w:rsid w:val="004316FD"/>
    <w:rsid w:val="0043235C"/>
    <w:rsid w:val="00433B91"/>
    <w:rsid w:val="00443630"/>
    <w:rsid w:val="0044685B"/>
    <w:rsid w:val="00453BE8"/>
    <w:rsid w:val="00466464"/>
    <w:rsid w:val="00466583"/>
    <w:rsid w:val="0046703F"/>
    <w:rsid w:val="00467100"/>
    <w:rsid w:val="00474ABA"/>
    <w:rsid w:val="00474D8D"/>
    <w:rsid w:val="00475A42"/>
    <w:rsid w:val="00477E4E"/>
    <w:rsid w:val="00483D58"/>
    <w:rsid w:val="00492D79"/>
    <w:rsid w:val="00493976"/>
    <w:rsid w:val="0049609D"/>
    <w:rsid w:val="0049787A"/>
    <w:rsid w:val="004A0766"/>
    <w:rsid w:val="004A410A"/>
    <w:rsid w:val="004B6A7B"/>
    <w:rsid w:val="004C2C3B"/>
    <w:rsid w:val="004C4824"/>
    <w:rsid w:val="004D3A3B"/>
    <w:rsid w:val="004E36FF"/>
    <w:rsid w:val="004E40B2"/>
    <w:rsid w:val="004E5AF1"/>
    <w:rsid w:val="004E5FFD"/>
    <w:rsid w:val="004F1D3E"/>
    <w:rsid w:val="004F50B6"/>
    <w:rsid w:val="00501747"/>
    <w:rsid w:val="0050246D"/>
    <w:rsid w:val="005029AF"/>
    <w:rsid w:val="00507A50"/>
    <w:rsid w:val="005161AB"/>
    <w:rsid w:val="005169CE"/>
    <w:rsid w:val="005229C7"/>
    <w:rsid w:val="00523A00"/>
    <w:rsid w:val="005255C3"/>
    <w:rsid w:val="00526D65"/>
    <w:rsid w:val="005317E9"/>
    <w:rsid w:val="00544A78"/>
    <w:rsid w:val="005474EC"/>
    <w:rsid w:val="00551C78"/>
    <w:rsid w:val="00554EEB"/>
    <w:rsid w:val="00556329"/>
    <w:rsid w:val="00557129"/>
    <w:rsid w:val="0056535C"/>
    <w:rsid w:val="00572AB3"/>
    <w:rsid w:val="005854E7"/>
    <w:rsid w:val="00587E73"/>
    <w:rsid w:val="0059467D"/>
    <w:rsid w:val="00594CF5"/>
    <w:rsid w:val="00597241"/>
    <w:rsid w:val="005A2EDE"/>
    <w:rsid w:val="005A3021"/>
    <w:rsid w:val="005A32AE"/>
    <w:rsid w:val="005A46FE"/>
    <w:rsid w:val="005A4C1E"/>
    <w:rsid w:val="005C3E7B"/>
    <w:rsid w:val="005C5EFA"/>
    <w:rsid w:val="005D00C4"/>
    <w:rsid w:val="005D177B"/>
    <w:rsid w:val="005E0E4F"/>
    <w:rsid w:val="005E448F"/>
    <w:rsid w:val="005E7E40"/>
    <w:rsid w:val="005F419A"/>
    <w:rsid w:val="005F526E"/>
    <w:rsid w:val="005F5CBF"/>
    <w:rsid w:val="005F652D"/>
    <w:rsid w:val="005F7917"/>
    <w:rsid w:val="00602DED"/>
    <w:rsid w:val="00603806"/>
    <w:rsid w:val="0060638F"/>
    <w:rsid w:val="0060734A"/>
    <w:rsid w:val="0061188F"/>
    <w:rsid w:val="00620789"/>
    <w:rsid w:val="0062441E"/>
    <w:rsid w:val="00626C53"/>
    <w:rsid w:val="00630BD4"/>
    <w:rsid w:val="00634E5A"/>
    <w:rsid w:val="00637ED2"/>
    <w:rsid w:val="00637F6E"/>
    <w:rsid w:val="00651442"/>
    <w:rsid w:val="00651691"/>
    <w:rsid w:val="00661D48"/>
    <w:rsid w:val="00670B8C"/>
    <w:rsid w:val="006761D5"/>
    <w:rsid w:val="0068471D"/>
    <w:rsid w:val="00686CCF"/>
    <w:rsid w:val="00692ACD"/>
    <w:rsid w:val="00695376"/>
    <w:rsid w:val="0069553E"/>
    <w:rsid w:val="00696557"/>
    <w:rsid w:val="00697BB2"/>
    <w:rsid w:val="006A334A"/>
    <w:rsid w:val="006B1974"/>
    <w:rsid w:val="006C2755"/>
    <w:rsid w:val="006C61C0"/>
    <w:rsid w:val="006C690B"/>
    <w:rsid w:val="006D1096"/>
    <w:rsid w:val="006D111B"/>
    <w:rsid w:val="006D1F98"/>
    <w:rsid w:val="006D249F"/>
    <w:rsid w:val="006D3475"/>
    <w:rsid w:val="006D4868"/>
    <w:rsid w:val="006D6FE4"/>
    <w:rsid w:val="006E47D7"/>
    <w:rsid w:val="006E48E8"/>
    <w:rsid w:val="006E51D1"/>
    <w:rsid w:val="007028FB"/>
    <w:rsid w:val="00714166"/>
    <w:rsid w:val="00714AE0"/>
    <w:rsid w:val="0071586C"/>
    <w:rsid w:val="00720B77"/>
    <w:rsid w:val="00723AB2"/>
    <w:rsid w:val="007249D7"/>
    <w:rsid w:val="007252DF"/>
    <w:rsid w:val="0072698B"/>
    <w:rsid w:val="00726CDE"/>
    <w:rsid w:val="00731543"/>
    <w:rsid w:val="00735FDB"/>
    <w:rsid w:val="00740D27"/>
    <w:rsid w:val="007421EB"/>
    <w:rsid w:val="00744F68"/>
    <w:rsid w:val="00746951"/>
    <w:rsid w:val="007545BE"/>
    <w:rsid w:val="00761F59"/>
    <w:rsid w:val="00762BA4"/>
    <w:rsid w:val="00765004"/>
    <w:rsid w:val="007728CA"/>
    <w:rsid w:val="007742B9"/>
    <w:rsid w:val="0077746A"/>
    <w:rsid w:val="00784A7E"/>
    <w:rsid w:val="00787A31"/>
    <w:rsid w:val="00793386"/>
    <w:rsid w:val="007A5A42"/>
    <w:rsid w:val="007B020A"/>
    <w:rsid w:val="007B0AD6"/>
    <w:rsid w:val="007B1251"/>
    <w:rsid w:val="007B175D"/>
    <w:rsid w:val="007B3022"/>
    <w:rsid w:val="007D1B69"/>
    <w:rsid w:val="007E2D1B"/>
    <w:rsid w:val="007E5274"/>
    <w:rsid w:val="007E7884"/>
    <w:rsid w:val="007F10B9"/>
    <w:rsid w:val="007F34B2"/>
    <w:rsid w:val="007F4784"/>
    <w:rsid w:val="007F4D28"/>
    <w:rsid w:val="007F7BD8"/>
    <w:rsid w:val="00804324"/>
    <w:rsid w:val="008070A3"/>
    <w:rsid w:val="00814DB1"/>
    <w:rsid w:val="00814DE7"/>
    <w:rsid w:val="0082157D"/>
    <w:rsid w:val="00823B8F"/>
    <w:rsid w:val="00832D29"/>
    <w:rsid w:val="00837933"/>
    <w:rsid w:val="00840A62"/>
    <w:rsid w:val="00850F77"/>
    <w:rsid w:val="00861DCF"/>
    <w:rsid w:val="008638DB"/>
    <w:rsid w:val="00863E91"/>
    <w:rsid w:val="00866FCD"/>
    <w:rsid w:val="008671B7"/>
    <w:rsid w:val="00867A7C"/>
    <w:rsid w:val="00870ABC"/>
    <w:rsid w:val="00871A2A"/>
    <w:rsid w:val="00876D19"/>
    <w:rsid w:val="008820CF"/>
    <w:rsid w:val="008828BE"/>
    <w:rsid w:val="00884B12"/>
    <w:rsid w:val="00893D77"/>
    <w:rsid w:val="008945FE"/>
    <w:rsid w:val="008A4624"/>
    <w:rsid w:val="008A4BB1"/>
    <w:rsid w:val="008B00BD"/>
    <w:rsid w:val="008B1BF8"/>
    <w:rsid w:val="008B45C1"/>
    <w:rsid w:val="008B6B2E"/>
    <w:rsid w:val="008B6D9D"/>
    <w:rsid w:val="008C1B8D"/>
    <w:rsid w:val="008C2EE1"/>
    <w:rsid w:val="008C384E"/>
    <w:rsid w:val="008C6327"/>
    <w:rsid w:val="008D77DF"/>
    <w:rsid w:val="008D7A17"/>
    <w:rsid w:val="008E2CD9"/>
    <w:rsid w:val="008E44C5"/>
    <w:rsid w:val="008F506C"/>
    <w:rsid w:val="00902889"/>
    <w:rsid w:val="00907A8A"/>
    <w:rsid w:val="00910548"/>
    <w:rsid w:val="00913C4D"/>
    <w:rsid w:val="00915E08"/>
    <w:rsid w:val="009168AA"/>
    <w:rsid w:val="00921F3B"/>
    <w:rsid w:val="00923C08"/>
    <w:rsid w:val="009305CA"/>
    <w:rsid w:val="009314D6"/>
    <w:rsid w:val="00932678"/>
    <w:rsid w:val="00936E88"/>
    <w:rsid w:val="00941917"/>
    <w:rsid w:val="009446DB"/>
    <w:rsid w:val="009564FA"/>
    <w:rsid w:val="0096002A"/>
    <w:rsid w:val="00960A15"/>
    <w:rsid w:val="00966BD2"/>
    <w:rsid w:val="00972B32"/>
    <w:rsid w:val="00973362"/>
    <w:rsid w:val="009756FA"/>
    <w:rsid w:val="00975D1B"/>
    <w:rsid w:val="00983A53"/>
    <w:rsid w:val="00986C85"/>
    <w:rsid w:val="00994799"/>
    <w:rsid w:val="009A6264"/>
    <w:rsid w:val="009A6FB2"/>
    <w:rsid w:val="009B4CD4"/>
    <w:rsid w:val="009C11F8"/>
    <w:rsid w:val="009D179C"/>
    <w:rsid w:val="009D478B"/>
    <w:rsid w:val="009D7D6B"/>
    <w:rsid w:val="009E5220"/>
    <w:rsid w:val="009E740F"/>
    <w:rsid w:val="009F008C"/>
    <w:rsid w:val="009F1673"/>
    <w:rsid w:val="009F17F3"/>
    <w:rsid w:val="00A01C36"/>
    <w:rsid w:val="00A01F1B"/>
    <w:rsid w:val="00A058A6"/>
    <w:rsid w:val="00A0617A"/>
    <w:rsid w:val="00A109C2"/>
    <w:rsid w:val="00A11728"/>
    <w:rsid w:val="00A17723"/>
    <w:rsid w:val="00A20015"/>
    <w:rsid w:val="00A23B8F"/>
    <w:rsid w:val="00A2548C"/>
    <w:rsid w:val="00A26C20"/>
    <w:rsid w:val="00A32D8C"/>
    <w:rsid w:val="00A33432"/>
    <w:rsid w:val="00A33C21"/>
    <w:rsid w:val="00A35521"/>
    <w:rsid w:val="00A367A4"/>
    <w:rsid w:val="00A37943"/>
    <w:rsid w:val="00A4194E"/>
    <w:rsid w:val="00A426B2"/>
    <w:rsid w:val="00A42D0B"/>
    <w:rsid w:val="00A440E3"/>
    <w:rsid w:val="00A46FF0"/>
    <w:rsid w:val="00A50B9C"/>
    <w:rsid w:val="00A57DEB"/>
    <w:rsid w:val="00A61D38"/>
    <w:rsid w:val="00A642CD"/>
    <w:rsid w:val="00A74088"/>
    <w:rsid w:val="00A830FD"/>
    <w:rsid w:val="00A833C9"/>
    <w:rsid w:val="00A9322F"/>
    <w:rsid w:val="00A94C42"/>
    <w:rsid w:val="00AA07A4"/>
    <w:rsid w:val="00AA14CC"/>
    <w:rsid w:val="00AA20E2"/>
    <w:rsid w:val="00AA2650"/>
    <w:rsid w:val="00AA3F20"/>
    <w:rsid w:val="00AA4090"/>
    <w:rsid w:val="00AB0432"/>
    <w:rsid w:val="00AB11FE"/>
    <w:rsid w:val="00AB1E3D"/>
    <w:rsid w:val="00AC0C68"/>
    <w:rsid w:val="00AC3A72"/>
    <w:rsid w:val="00AC4EED"/>
    <w:rsid w:val="00AC61E1"/>
    <w:rsid w:val="00AC6E84"/>
    <w:rsid w:val="00AD5E68"/>
    <w:rsid w:val="00AD604F"/>
    <w:rsid w:val="00AD7104"/>
    <w:rsid w:val="00AE6A94"/>
    <w:rsid w:val="00AE7D22"/>
    <w:rsid w:val="00AF209B"/>
    <w:rsid w:val="00AF64D0"/>
    <w:rsid w:val="00AF7721"/>
    <w:rsid w:val="00B02304"/>
    <w:rsid w:val="00B05F68"/>
    <w:rsid w:val="00B11D25"/>
    <w:rsid w:val="00B1674C"/>
    <w:rsid w:val="00B21642"/>
    <w:rsid w:val="00B21C81"/>
    <w:rsid w:val="00B26C74"/>
    <w:rsid w:val="00B36A44"/>
    <w:rsid w:val="00B36A73"/>
    <w:rsid w:val="00B36C15"/>
    <w:rsid w:val="00B37FB2"/>
    <w:rsid w:val="00B47C5D"/>
    <w:rsid w:val="00B507F0"/>
    <w:rsid w:val="00B51488"/>
    <w:rsid w:val="00B51F1E"/>
    <w:rsid w:val="00B527CB"/>
    <w:rsid w:val="00B5282A"/>
    <w:rsid w:val="00B56C76"/>
    <w:rsid w:val="00B5706A"/>
    <w:rsid w:val="00B57B8B"/>
    <w:rsid w:val="00B6610C"/>
    <w:rsid w:val="00B66413"/>
    <w:rsid w:val="00B66E59"/>
    <w:rsid w:val="00B67EA7"/>
    <w:rsid w:val="00B72033"/>
    <w:rsid w:val="00B72DA1"/>
    <w:rsid w:val="00B75B7D"/>
    <w:rsid w:val="00B8070D"/>
    <w:rsid w:val="00B922BD"/>
    <w:rsid w:val="00B943EE"/>
    <w:rsid w:val="00B964F5"/>
    <w:rsid w:val="00BB1C93"/>
    <w:rsid w:val="00BB37FB"/>
    <w:rsid w:val="00BC3E22"/>
    <w:rsid w:val="00BD2CC1"/>
    <w:rsid w:val="00BD5B10"/>
    <w:rsid w:val="00BD6B62"/>
    <w:rsid w:val="00BE01F4"/>
    <w:rsid w:val="00BF281B"/>
    <w:rsid w:val="00C04366"/>
    <w:rsid w:val="00C1039A"/>
    <w:rsid w:val="00C10A0F"/>
    <w:rsid w:val="00C117B8"/>
    <w:rsid w:val="00C117DD"/>
    <w:rsid w:val="00C135A3"/>
    <w:rsid w:val="00C3152A"/>
    <w:rsid w:val="00C36685"/>
    <w:rsid w:val="00C37D11"/>
    <w:rsid w:val="00C413D1"/>
    <w:rsid w:val="00C449DD"/>
    <w:rsid w:val="00C46354"/>
    <w:rsid w:val="00C54DF3"/>
    <w:rsid w:val="00C55819"/>
    <w:rsid w:val="00C61607"/>
    <w:rsid w:val="00C62F63"/>
    <w:rsid w:val="00C633F3"/>
    <w:rsid w:val="00C655DE"/>
    <w:rsid w:val="00C70C57"/>
    <w:rsid w:val="00C721C8"/>
    <w:rsid w:val="00C75655"/>
    <w:rsid w:val="00C77E17"/>
    <w:rsid w:val="00C82D92"/>
    <w:rsid w:val="00C8306E"/>
    <w:rsid w:val="00C90F78"/>
    <w:rsid w:val="00C91B1C"/>
    <w:rsid w:val="00CA5DD3"/>
    <w:rsid w:val="00CA64DA"/>
    <w:rsid w:val="00CB0931"/>
    <w:rsid w:val="00CB7C50"/>
    <w:rsid w:val="00CC127B"/>
    <w:rsid w:val="00CC2182"/>
    <w:rsid w:val="00CE0EA1"/>
    <w:rsid w:val="00CE2063"/>
    <w:rsid w:val="00CE713E"/>
    <w:rsid w:val="00CE7D10"/>
    <w:rsid w:val="00CF0EA6"/>
    <w:rsid w:val="00CF3302"/>
    <w:rsid w:val="00CF5601"/>
    <w:rsid w:val="00CF6233"/>
    <w:rsid w:val="00D02670"/>
    <w:rsid w:val="00D02CD0"/>
    <w:rsid w:val="00D03688"/>
    <w:rsid w:val="00D03C01"/>
    <w:rsid w:val="00D06319"/>
    <w:rsid w:val="00D06C46"/>
    <w:rsid w:val="00D07CB7"/>
    <w:rsid w:val="00D101D1"/>
    <w:rsid w:val="00D10D6A"/>
    <w:rsid w:val="00D15089"/>
    <w:rsid w:val="00D254CE"/>
    <w:rsid w:val="00D26947"/>
    <w:rsid w:val="00D36321"/>
    <w:rsid w:val="00D36AA0"/>
    <w:rsid w:val="00D375D0"/>
    <w:rsid w:val="00D40BB4"/>
    <w:rsid w:val="00D50A0B"/>
    <w:rsid w:val="00D51157"/>
    <w:rsid w:val="00D573C7"/>
    <w:rsid w:val="00D62485"/>
    <w:rsid w:val="00D62D48"/>
    <w:rsid w:val="00D66676"/>
    <w:rsid w:val="00D714B6"/>
    <w:rsid w:val="00D75325"/>
    <w:rsid w:val="00D777B5"/>
    <w:rsid w:val="00D82A27"/>
    <w:rsid w:val="00D856F2"/>
    <w:rsid w:val="00D86444"/>
    <w:rsid w:val="00D871BE"/>
    <w:rsid w:val="00D95C1F"/>
    <w:rsid w:val="00DA1E2E"/>
    <w:rsid w:val="00DA3C01"/>
    <w:rsid w:val="00DA4A0E"/>
    <w:rsid w:val="00DA51D1"/>
    <w:rsid w:val="00DA54BF"/>
    <w:rsid w:val="00DA5BE1"/>
    <w:rsid w:val="00DA6DA9"/>
    <w:rsid w:val="00DA717F"/>
    <w:rsid w:val="00DB5A6F"/>
    <w:rsid w:val="00DB6816"/>
    <w:rsid w:val="00DC0E32"/>
    <w:rsid w:val="00DC4267"/>
    <w:rsid w:val="00DC73C5"/>
    <w:rsid w:val="00DD55BC"/>
    <w:rsid w:val="00DD6A67"/>
    <w:rsid w:val="00E03533"/>
    <w:rsid w:val="00E0454B"/>
    <w:rsid w:val="00E07ED4"/>
    <w:rsid w:val="00E2074C"/>
    <w:rsid w:val="00E21172"/>
    <w:rsid w:val="00E308B8"/>
    <w:rsid w:val="00E350E4"/>
    <w:rsid w:val="00E37A3F"/>
    <w:rsid w:val="00E42867"/>
    <w:rsid w:val="00E609C2"/>
    <w:rsid w:val="00E60E41"/>
    <w:rsid w:val="00E65B7E"/>
    <w:rsid w:val="00E67025"/>
    <w:rsid w:val="00E75779"/>
    <w:rsid w:val="00E818B8"/>
    <w:rsid w:val="00E818EA"/>
    <w:rsid w:val="00EA222E"/>
    <w:rsid w:val="00EA43D2"/>
    <w:rsid w:val="00EA7CA4"/>
    <w:rsid w:val="00EB26F9"/>
    <w:rsid w:val="00EB3F8B"/>
    <w:rsid w:val="00EB525A"/>
    <w:rsid w:val="00EB6696"/>
    <w:rsid w:val="00EC0FDD"/>
    <w:rsid w:val="00EC4185"/>
    <w:rsid w:val="00EC5BF0"/>
    <w:rsid w:val="00EC5F4C"/>
    <w:rsid w:val="00ED15F3"/>
    <w:rsid w:val="00ED1FD2"/>
    <w:rsid w:val="00ED3CC9"/>
    <w:rsid w:val="00EE3DBC"/>
    <w:rsid w:val="00EE5474"/>
    <w:rsid w:val="00EF2D78"/>
    <w:rsid w:val="00EF3C6A"/>
    <w:rsid w:val="00EF721F"/>
    <w:rsid w:val="00EF7457"/>
    <w:rsid w:val="00F0170C"/>
    <w:rsid w:val="00F0255C"/>
    <w:rsid w:val="00F05E01"/>
    <w:rsid w:val="00F309CD"/>
    <w:rsid w:val="00F33211"/>
    <w:rsid w:val="00F475C3"/>
    <w:rsid w:val="00F4799E"/>
    <w:rsid w:val="00F52440"/>
    <w:rsid w:val="00F5580A"/>
    <w:rsid w:val="00F6078B"/>
    <w:rsid w:val="00F67173"/>
    <w:rsid w:val="00F71F81"/>
    <w:rsid w:val="00F75791"/>
    <w:rsid w:val="00F75942"/>
    <w:rsid w:val="00F75AB3"/>
    <w:rsid w:val="00F7690F"/>
    <w:rsid w:val="00F8175C"/>
    <w:rsid w:val="00F821B6"/>
    <w:rsid w:val="00F83020"/>
    <w:rsid w:val="00F84702"/>
    <w:rsid w:val="00F94A42"/>
    <w:rsid w:val="00F966CD"/>
    <w:rsid w:val="00FA292B"/>
    <w:rsid w:val="00FB07BA"/>
    <w:rsid w:val="00FB3846"/>
    <w:rsid w:val="00FB40A8"/>
    <w:rsid w:val="00FB5AB8"/>
    <w:rsid w:val="00FB641C"/>
    <w:rsid w:val="00FC32BF"/>
    <w:rsid w:val="00FC76D5"/>
    <w:rsid w:val="00FD2EF7"/>
    <w:rsid w:val="00FD3776"/>
    <w:rsid w:val="00FE680F"/>
    <w:rsid w:val="00FE6B62"/>
    <w:rsid w:val="00FE77A7"/>
    <w:rsid w:val="00FE7C5C"/>
    <w:rsid w:val="00FF15CC"/>
    <w:rsid w:val="00FF67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chartTrackingRefBased/>
  <w15:docId w15:val="{FF13CF63-4712-5645-9AA0-EAC78EE7DC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21172"/>
    <w:rPr>
      <w:rFonts w:ascii="Times New Roman" w:eastAsia="Times New Roman" w:hAnsi="Times New Roman"/>
      <w:sz w:val="24"/>
      <w:szCs w:val="24"/>
    </w:rPr>
  </w:style>
  <w:style w:type="paragraph" w:styleId="Heading1">
    <w:name w:val="heading 1"/>
    <w:basedOn w:val="Normal"/>
    <w:next w:val="Normal"/>
    <w:link w:val="Heading1Char"/>
    <w:uiPriority w:val="9"/>
    <w:qFormat/>
    <w:rsid w:val="00483D58"/>
    <w:pPr>
      <w:keepNext/>
      <w:keepLines/>
      <w:spacing w:before="240"/>
      <w:outlineLvl w:val="0"/>
    </w:pPr>
    <w:rPr>
      <w:rFonts w:ascii="Calibri Light" w:hAnsi="Calibri Light"/>
      <w:color w:val="2F5496"/>
      <w:sz w:val="32"/>
      <w:szCs w:val="32"/>
    </w:rPr>
  </w:style>
  <w:style w:type="paragraph" w:styleId="Heading2">
    <w:name w:val="heading 2"/>
    <w:basedOn w:val="Heading1"/>
    <w:next w:val="Normal"/>
    <w:link w:val="Heading2Char"/>
    <w:qFormat/>
    <w:rsid w:val="00483D58"/>
    <w:pPr>
      <w:overflowPunct w:val="0"/>
      <w:autoSpaceDE w:val="0"/>
      <w:autoSpaceDN w:val="0"/>
      <w:adjustRightInd w:val="0"/>
      <w:spacing w:before="180" w:after="180"/>
      <w:ind w:left="1134" w:hanging="1134"/>
      <w:textAlignment w:val="baseline"/>
      <w:outlineLvl w:val="1"/>
    </w:pPr>
    <w:rPr>
      <w:rFonts w:ascii="Arial" w:hAnsi="Arial"/>
      <w:color w:val="auto"/>
      <w:lang w:val="en-GB" w:eastAsia="zh-CN"/>
    </w:rPr>
  </w:style>
  <w:style w:type="paragraph" w:styleId="Heading3">
    <w:name w:val="heading 3"/>
    <w:basedOn w:val="Heading2"/>
    <w:next w:val="Normal"/>
    <w:link w:val="Heading3Char"/>
    <w:qFormat/>
    <w:rsid w:val="00483D58"/>
    <w:pPr>
      <w:spacing w:before="120"/>
      <w:outlineLvl w:val="2"/>
    </w:pPr>
    <w:rPr>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483D58"/>
    <w:rPr>
      <w:rFonts w:ascii="Arial" w:eastAsia="Times New Roman" w:hAnsi="Arial" w:cs="Times New Roman"/>
      <w:sz w:val="32"/>
      <w:szCs w:val="32"/>
      <w:lang w:val="en-GB" w:eastAsia="zh-CN"/>
    </w:rPr>
  </w:style>
  <w:style w:type="character" w:customStyle="1" w:styleId="Heading3Char">
    <w:name w:val="Heading 3 Char"/>
    <w:link w:val="Heading3"/>
    <w:rsid w:val="00483D58"/>
    <w:rPr>
      <w:rFonts w:ascii="Arial" w:eastAsia="Times New Roman" w:hAnsi="Arial" w:cs="Times New Roman"/>
      <w:sz w:val="28"/>
      <w:szCs w:val="28"/>
      <w:lang w:val="en-GB" w:eastAsia="zh-CN"/>
    </w:rPr>
  </w:style>
  <w:style w:type="paragraph" w:styleId="Header">
    <w:name w:val="header"/>
    <w:link w:val="HeaderChar"/>
    <w:rsid w:val="00483D58"/>
    <w:pPr>
      <w:widowControl w:val="0"/>
      <w:overflowPunct w:val="0"/>
      <w:autoSpaceDE w:val="0"/>
      <w:autoSpaceDN w:val="0"/>
      <w:adjustRightInd w:val="0"/>
      <w:textAlignment w:val="baseline"/>
    </w:pPr>
    <w:rPr>
      <w:rFonts w:ascii="Arial" w:eastAsia="Times New Roman" w:hAnsi="Arial" w:cs="Arial"/>
      <w:b/>
      <w:bCs/>
      <w:noProof/>
      <w:sz w:val="18"/>
      <w:szCs w:val="18"/>
      <w:lang w:eastAsia="zh-CN"/>
    </w:rPr>
  </w:style>
  <w:style w:type="character" w:customStyle="1" w:styleId="HeaderChar">
    <w:name w:val="Header Char"/>
    <w:link w:val="Header"/>
    <w:rsid w:val="00483D58"/>
    <w:rPr>
      <w:rFonts w:ascii="Arial" w:eastAsia="Times New Roman" w:hAnsi="Arial" w:cs="Arial"/>
      <w:b/>
      <w:bCs/>
      <w:noProof/>
      <w:sz w:val="18"/>
      <w:szCs w:val="18"/>
      <w:lang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
    <w:rsid w:val="00483D58"/>
  </w:style>
  <w:style w:type="character" w:customStyle="1" w:styleId="BodyTextChar">
    <w:name w:val="Body Text Char"/>
    <w:aliases w:val="bt Char,body indent Char,paragraph 2 Char,body text Char, ändrad Char,AvtalBrödtext Char,ändrad Char,Bodytext Char,Compliance Char,Response Char,Body3 Char,Corps de texte Car Char,Corps de texte Car1 Car Char,bt Ca Char"/>
    <w:link w:val="BodyText"/>
    <w:rsid w:val="00483D58"/>
    <w:rPr>
      <w:rFonts w:ascii="Times New Roman" w:eastAsia="Times New Roman" w:hAnsi="Times New Roman" w:cs="Times New Roman"/>
    </w:rPr>
  </w:style>
  <w:style w:type="paragraph" w:customStyle="1" w:styleId="TableParagraph">
    <w:name w:val="Table Paragraph"/>
    <w:basedOn w:val="Normal"/>
    <w:uiPriority w:val="1"/>
    <w:qFormat/>
    <w:rsid w:val="00483D58"/>
    <w:pPr>
      <w:widowControl w:val="0"/>
    </w:pPr>
    <w:rPr>
      <w:rFonts w:ascii="Arial" w:eastAsia="Arial" w:hAnsi="Arial" w:cs="Arial"/>
      <w:sz w:val="22"/>
      <w:szCs w:val="22"/>
      <w:lang w:bidi="en-US"/>
    </w:rPr>
  </w:style>
  <w:style w:type="character" w:customStyle="1" w:styleId="Heading1Char">
    <w:name w:val="Heading 1 Char"/>
    <w:link w:val="Heading1"/>
    <w:uiPriority w:val="9"/>
    <w:rsid w:val="00483D58"/>
    <w:rPr>
      <w:rFonts w:ascii="Calibri Light" w:eastAsia="Times New Roman" w:hAnsi="Calibri Light" w:cs="Times New Roman"/>
      <w:color w:val="2F5496"/>
      <w:sz w:val="32"/>
      <w:szCs w:val="32"/>
    </w:rPr>
  </w:style>
  <w:style w:type="paragraph" w:customStyle="1" w:styleId="B1">
    <w:name w:val="B1"/>
    <w:basedOn w:val="List"/>
    <w:link w:val="B1Char1"/>
    <w:rsid w:val="00483D58"/>
    <w:pPr>
      <w:ind w:left="568" w:hanging="284"/>
      <w:contextualSpacing w:val="0"/>
    </w:pPr>
  </w:style>
  <w:style w:type="character" w:customStyle="1" w:styleId="B1Char1">
    <w:name w:val="B1 Char1"/>
    <w:link w:val="B1"/>
    <w:rsid w:val="00483D58"/>
    <w:rPr>
      <w:rFonts w:ascii="Times New Roman" w:eastAsia="Times New Roman" w:hAnsi="Times New Roman" w:cs="Times New Roman"/>
    </w:rPr>
  </w:style>
  <w:style w:type="paragraph" w:styleId="List">
    <w:name w:val="List"/>
    <w:basedOn w:val="Normal"/>
    <w:uiPriority w:val="99"/>
    <w:semiHidden/>
    <w:unhideWhenUsed/>
    <w:rsid w:val="00483D58"/>
    <w:pPr>
      <w:ind w:left="360" w:hanging="360"/>
      <w:contextualSpacing/>
    </w:pPr>
  </w:style>
  <w:style w:type="paragraph" w:styleId="ListParagraph">
    <w:name w:val="List Paragraph"/>
    <w:basedOn w:val="Normal"/>
    <w:uiPriority w:val="1"/>
    <w:qFormat/>
    <w:rsid w:val="00861DCF"/>
    <w:pPr>
      <w:widowControl w:val="0"/>
      <w:autoSpaceDE w:val="0"/>
      <w:autoSpaceDN w:val="0"/>
      <w:ind w:left="1646" w:hanging="1133"/>
    </w:pPr>
    <w:rPr>
      <w:sz w:val="22"/>
      <w:szCs w:val="22"/>
      <w:lang w:bidi="en-US"/>
    </w:rPr>
  </w:style>
  <w:style w:type="character" w:styleId="PageNumber">
    <w:name w:val="page number"/>
    <w:basedOn w:val="DefaultParagraphFont"/>
    <w:uiPriority w:val="99"/>
    <w:semiHidden/>
    <w:unhideWhenUsed/>
    <w:rsid w:val="00412779"/>
  </w:style>
  <w:style w:type="paragraph" w:styleId="Footer">
    <w:name w:val="footer"/>
    <w:basedOn w:val="Normal"/>
    <w:link w:val="FooterChar"/>
    <w:uiPriority w:val="99"/>
    <w:unhideWhenUsed/>
    <w:rsid w:val="00412779"/>
    <w:pPr>
      <w:tabs>
        <w:tab w:val="center" w:pos="4680"/>
        <w:tab w:val="right" w:pos="9360"/>
      </w:tabs>
    </w:pPr>
  </w:style>
  <w:style w:type="character" w:customStyle="1" w:styleId="FooterChar">
    <w:name w:val="Footer Char"/>
    <w:link w:val="Footer"/>
    <w:uiPriority w:val="99"/>
    <w:rsid w:val="00412779"/>
    <w:rPr>
      <w:rFonts w:ascii="Times New Roman" w:eastAsia="Times New Roman" w:hAnsi="Times New Roman" w:cs="Times New Roman"/>
    </w:rPr>
  </w:style>
  <w:style w:type="paragraph" w:styleId="NormalWeb">
    <w:name w:val="Normal (Web)"/>
    <w:basedOn w:val="Normal"/>
    <w:uiPriority w:val="99"/>
    <w:semiHidden/>
    <w:unhideWhenUsed/>
    <w:rsid w:val="00A33C21"/>
    <w:pPr>
      <w:spacing w:before="100" w:beforeAutospacing="1" w:after="100" w:afterAutospacing="1"/>
    </w:pPr>
  </w:style>
  <w:style w:type="character" w:customStyle="1" w:styleId="apple-converted-space">
    <w:name w:val="apple-converted-space"/>
    <w:basedOn w:val="DefaultParagraphFont"/>
    <w:rsid w:val="00E21172"/>
  </w:style>
  <w:style w:type="character" w:styleId="Hyperlink">
    <w:name w:val="Hyperlink"/>
    <w:uiPriority w:val="99"/>
    <w:unhideWhenUsed/>
    <w:rsid w:val="00746951"/>
    <w:rPr>
      <w:color w:val="0563C1"/>
      <w:u w:val="single"/>
    </w:rPr>
  </w:style>
  <w:style w:type="character" w:styleId="UnresolvedMention">
    <w:name w:val="Unresolved Mention"/>
    <w:uiPriority w:val="99"/>
    <w:rsid w:val="00746951"/>
    <w:rPr>
      <w:color w:val="605E5C"/>
      <w:shd w:val="clear" w:color="auto" w:fill="E1DFDD"/>
    </w:rPr>
  </w:style>
  <w:style w:type="character" w:styleId="FollowedHyperlink">
    <w:name w:val="FollowedHyperlink"/>
    <w:uiPriority w:val="99"/>
    <w:semiHidden/>
    <w:unhideWhenUsed/>
    <w:rsid w:val="00746951"/>
    <w:rPr>
      <w:color w:val="954F72"/>
      <w:u w:val="single"/>
    </w:rPr>
  </w:style>
  <w:style w:type="character" w:styleId="CommentReference">
    <w:name w:val="annotation reference"/>
    <w:uiPriority w:val="99"/>
    <w:semiHidden/>
    <w:unhideWhenUsed/>
    <w:rsid w:val="00B66413"/>
    <w:rPr>
      <w:sz w:val="16"/>
      <w:szCs w:val="16"/>
    </w:rPr>
  </w:style>
  <w:style w:type="paragraph" w:styleId="CommentText">
    <w:name w:val="annotation text"/>
    <w:basedOn w:val="Normal"/>
    <w:link w:val="CommentTextChar"/>
    <w:uiPriority w:val="99"/>
    <w:semiHidden/>
    <w:unhideWhenUsed/>
    <w:rsid w:val="00B66413"/>
    <w:rPr>
      <w:sz w:val="20"/>
      <w:szCs w:val="20"/>
    </w:rPr>
  </w:style>
  <w:style w:type="character" w:customStyle="1" w:styleId="CommentTextChar">
    <w:name w:val="Comment Text Char"/>
    <w:link w:val="CommentText"/>
    <w:uiPriority w:val="99"/>
    <w:semiHidden/>
    <w:rsid w:val="00B66413"/>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unhideWhenUsed/>
    <w:rsid w:val="00B66413"/>
    <w:rPr>
      <w:sz w:val="18"/>
      <w:szCs w:val="18"/>
    </w:rPr>
  </w:style>
  <w:style w:type="character" w:customStyle="1" w:styleId="BalloonTextChar">
    <w:name w:val="Balloon Text Char"/>
    <w:link w:val="BalloonText"/>
    <w:uiPriority w:val="99"/>
    <w:semiHidden/>
    <w:rsid w:val="00B66413"/>
    <w:rPr>
      <w:rFonts w:ascii="Times New Roman" w:eastAsia="Times New Roman" w:hAnsi="Times New Roman" w:cs="Times New Roman"/>
      <w:sz w:val="18"/>
      <w:szCs w:val="18"/>
    </w:rPr>
  </w:style>
  <w:style w:type="paragraph" w:styleId="Revision">
    <w:name w:val="Revision"/>
    <w:hidden/>
    <w:uiPriority w:val="99"/>
    <w:semiHidden/>
    <w:rsid w:val="009D7D6B"/>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3017767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https://ecfsapi.fcc.gov/file/60001042196.pdf" TargetMode="External"/><Relationship Id="rId12" Type="http://schemas.openxmlformats.org/officeDocument/2006/relationships/hyperlink" Target="https://www.fcc.gov/ecfs/filing/101414430178" TargetMode="External"/><Relationship Id="rId17" Type="http://schemas.openxmlformats.org/officeDocument/2006/relationships/image" Target="media/image5.png"/><Relationship Id="rId25" Type="http://schemas.openxmlformats.org/officeDocument/2006/relationships/header" Target="header1.xm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fcc.gov/ecfs/filing/1091236244340" TargetMode="External"/><Relationship Id="rId24" Type="http://schemas.openxmlformats.org/officeDocument/2006/relationships/image" Target="media/image12.png"/><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2.xml"/><Relationship Id="rId10" Type="http://schemas.openxmlformats.org/officeDocument/2006/relationships/hyperlink" Target="https://ecfsapi.fcc.gov/file/60001046632.pdf" TargetMode="Externa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ecfsapi.fcc.gov/file/60001043396.pdf"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oter" Target="footer1.xml"/><Relationship Id="rId30" Type="http://schemas.openxmlformats.org/officeDocument/2006/relationships/footer" Target="footer3.xml"/><Relationship Id="rId8" Type="http://schemas.openxmlformats.org/officeDocument/2006/relationships/hyperlink" Target="https://ecfsapi.fcc.gov/file/60001040010.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6485</Words>
  <Characters>36965</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43364</CharactersWithSpaces>
  <SharedDoc>false</SharedDoc>
  <HLinks>
    <vt:vector size="42" baseType="variant">
      <vt:variant>
        <vt:i4>1310749</vt:i4>
      </vt:variant>
      <vt:variant>
        <vt:i4>18</vt:i4>
      </vt:variant>
      <vt:variant>
        <vt:i4>0</vt:i4>
      </vt:variant>
      <vt:variant>
        <vt:i4>5</vt:i4>
      </vt:variant>
      <vt:variant>
        <vt:lpwstr>https://www.fcc.gov/ecfs/filing/101414430178</vt:lpwstr>
      </vt:variant>
      <vt:variant>
        <vt:lpwstr/>
      </vt:variant>
      <vt:variant>
        <vt:i4>1966100</vt:i4>
      </vt:variant>
      <vt:variant>
        <vt:i4>15</vt:i4>
      </vt:variant>
      <vt:variant>
        <vt:i4>0</vt:i4>
      </vt:variant>
      <vt:variant>
        <vt:i4>5</vt:i4>
      </vt:variant>
      <vt:variant>
        <vt:lpwstr>https://www.fcc.gov/ecfs/filing/1091236244340</vt:lpwstr>
      </vt:variant>
      <vt:variant>
        <vt:lpwstr/>
      </vt:variant>
      <vt:variant>
        <vt:i4>5177349</vt:i4>
      </vt:variant>
      <vt:variant>
        <vt:i4>12</vt:i4>
      </vt:variant>
      <vt:variant>
        <vt:i4>0</vt:i4>
      </vt:variant>
      <vt:variant>
        <vt:i4>5</vt:i4>
      </vt:variant>
      <vt:variant>
        <vt:lpwstr>https://ecfsapi.fcc.gov/file/60001046632.pdf</vt:lpwstr>
      </vt:variant>
      <vt:variant>
        <vt:lpwstr/>
      </vt:variant>
      <vt:variant>
        <vt:i4>5111818</vt:i4>
      </vt:variant>
      <vt:variant>
        <vt:i4>9</vt:i4>
      </vt:variant>
      <vt:variant>
        <vt:i4>0</vt:i4>
      </vt:variant>
      <vt:variant>
        <vt:i4>5</vt:i4>
      </vt:variant>
      <vt:variant>
        <vt:lpwstr>https://ecfsapi.fcc.gov/file/60001043396.pdf</vt:lpwstr>
      </vt:variant>
      <vt:variant>
        <vt:lpwstr/>
      </vt:variant>
      <vt:variant>
        <vt:i4>4784137</vt:i4>
      </vt:variant>
      <vt:variant>
        <vt:i4>6</vt:i4>
      </vt:variant>
      <vt:variant>
        <vt:i4>0</vt:i4>
      </vt:variant>
      <vt:variant>
        <vt:i4>5</vt:i4>
      </vt:variant>
      <vt:variant>
        <vt:lpwstr>https://ecfsapi.fcc.gov/file/60001041082.pdf</vt:lpwstr>
      </vt:variant>
      <vt:variant>
        <vt:lpwstr/>
      </vt:variant>
      <vt:variant>
        <vt:i4>4915201</vt:i4>
      </vt:variant>
      <vt:variant>
        <vt:i4>3</vt:i4>
      </vt:variant>
      <vt:variant>
        <vt:i4>0</vt:i4>
      </vt:variant>
      <vt:variant>
        <vt:i4>5</vt:i4>
      </vt:variant>
      <vt:variant>
        <vt:lpwstr>https://ecfsapi.fcc.gov/file/60001040010.pdf</vt:lpwstr>
      </vt:variant>
      <vt:variant>
        <vt:lpwstr/>
      </vt:variant>
      <vt:variant>
        <vt:i4>4980747</vt:i4>
      </vt:variant>
      <vt:variant>
        <vt:i4>0</vt:i4>
      </vt:variant>
      <vt:variant>
        <vt:i4>0</vt:i4>
      </vt:variant>
      <vt:variant>
        <vt:i4>5</vt:i4>
      </vt:variant>
      <vt:variant>
        <vt:lpwstr>https://ecfsapi.fcc.gov/file/60001042196.pdf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Dooley</dc:creator>
  <cp:keywords/>
  <dc:description/>
  <cp:lastModifiedBy>John Dooley</cp:lastModifiedBy>
  <cp:revision>2</cp:revision>
  <cp:lastPrinted>2018-08-01T12:46:00Z</cp:lastPrinted>
  <dcterms:created xsi:type="dcterms:W3CDTF">2018-08-10T18:42:00Z</dcterms:created>
  <dcterms:modified xsi:type="dcterms:W3CDTF">2018-08-10T18:42:00Z</dcterms:modified>
</cp:coreProperties>
</file>